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BA" w:rsidRPr="00E840FA" w:rsidRDefault="00143BBA" w:rsidP="006E1CDA">
      <w:pPr>
        <w:pStyle w:val="Heading1"/>
        <w:shd w:val="clear" w:color="auto" w:fill="FFFFFF"/>
        <w:spacing w:before="374" w:after="187"/>
        <w:jc w:val="center"/>
        <w:rPr>
          <w:sz w:val="28"/>
          <w:szCs w:val="28"/>
          <w:lang w:val="uk-UA"/>
        </w:rPr>
      </w:pPr>
      <w:r w:rsidRPr="006E1CDA">
        <w:rPr>
          <w:bCs/>
          <w:sz w:val="28"/>
          <w:szCs w:val="28"/>
        </w:rPr>
        <w:t>ЗВІТ про підсумки виконання розділів Програми економічного та соціального розвитку міста Харкова, які відносяться до компетенції Департаменту адміністративни</w:t>
      </w:r>
      <w:r>
        <w:rPr>
          <w:bCs/>
          <w:sz w:val="28"/>
          <w:szCs w:val="28"/>
        </w:rPr>
        <w:t>х послуг та споживчого ринку за</w:t>
      </w:r>
      <w:r w:rsidRPr="00E840FA">
        <w:rPr>
          <w:bCs/>
          <w:sz w:val="28"/>
          <w:szCs w:val="28"/>
        </w:rPr>
        <w:t xml:space="preserve"> </w:t>
      </w:r>
      <w:r>
        <w:rPr>
          <w:bCs/>
          <w:sz w:val="28"/>
          <w:szCs w:val="28"/>
          <w:lang w:val="uk-UA"/>
        </w:rPr>
        <w:t>І квартал 2020 року</w:t>
      </w:r>
    </w:p>
    <w:p w:rsidR="00143BBA" w:rsidRPr="006E1CDA" w:rsidRDefault="00143BBA" w:rsidP="008D7D94">
      <w:pPr>
        <w:jc w:val="center"/>
        <w:rPr>
          <w:b/>
          <w:sz w:val="28"/>
        </w:rPr>
      </w:pPr>
    </w:p>
    <w:p w:rsidR="00143BBA" w:rsidRDefault="00143BBA" w:rsidP="00A47CBB">
      <w:pPr>
        <w:jc w:val="both"/>
        <w:rPr>
          <w:b/>
          <w:sz w:val="28"/>
          <w:lang w:val="uk-UA"/>
        </w:rPr>
      </w:pPr>
      <w:r>
        <w:rPr>
          <w:b/>
          <w:sz w:val="28"/>
          <w:lang w:val="uk-UA"/>
        </w:rPr>
        <w:t xml:space="preserve">Розділ </w:t>
      </w:r>
      <w:r>
        <w:rPr>
          <w:b/>
          <w:sz w:val="28"/>
          <w:lang w:val="en-US"/>
        </w:rPr>
        <w:t>I</w:t>
      </w:r>
      <w:r w:rsidRPr="00641877">
        <w:rPr>
          <w:b/>
          <w:sz w:val="28"/>
          <w:lang w:val="uk-UA"/>
        </w:rPr>
        <w:t xml:space="preserve"> </w:t>
      </w:r>
      <w:r>
        <w:rPr>
          <w:b/>
          <w:sz w:val="28"/>
          <w:lang w:val="uk-UA"/>
        </w:rPr>
        <w:t>«Адміністративні послуги».</w:t>
      </w:r>
    </w:p>
    <w:p w:rsidR="00143BBA" w:rsidRPr="001C2626" w:rsidRDefault="00143BBA" w:rsidP="00CB7EC9">
      <w:pPr>
        <w:ind w:firstLine="709"/>
        <w:jc w:val="both"/>
        <w:rPr>
          <w:sz w:val="28"/>
          <w:szCs w:val="28"/>
          <w:lang w:val="uk-UA"/>
        </w:rPr>
      </w:pPr>
      <w:r w:rsidRPr="001C2626">
        <w:rPr>
          <w:sz w:val="28"/>
          <w:szCs w:val="28"/>
          <w:lang w:val="uk-UA"/>
        </w:rPr>
        <w:t>Комфортність життя у кожній громаді значною мірою залежить від спектру якості, зручності та доступності різноманітних послуг, які надають органи влади. Для кожного громадянина цілком зрозуміле бажання отримувати все в одному місці та у зручний час.</w:t>
      </w:r>
    </w:p>
    <w:p w:rsidR="00143BBA" w:rsidRPr="001C2626" w:rsidRDefault="00143BBA" w:rsidP="00CB7EC9">
      <w:pPr>
        <w:ind w:firstLine="709"/>
        <w:jc w:val="both"/>
        <w:rPr>
          <w:sz w:val="28"/>
          <w:szCs w:val="28"/>
          <w:lang w:val="uk-UA"/>
        </w:rPr>
      </w:pPr>
      <w:r w:rsidRPr="001C2626">
        <w:rPr>
          <w:sz w:val="28"/>
          <w:szCs w:val="28"/>
          <w:lang w:val="uk-UA"/>
        </w:rPr>
        <w:t>Концепція центрів надання адміністративних послуг полягає у створенні єдиного місця прийому громадян та суб’єктів господарювання з усіх або більшості необхідних їм адміністративних послуг.</w:t>
      </w:r>
    </w:p>
    <w:p w:rsidR="00143BBA" w:rsidRPr="001C2626" w:rsidRDefault="00143BBA" w:rsidP="00CB7EC9">
      <w:pPr>
        <w:ind w:firstLine="709"/>
        <w:jc w:val="both"/>
        <w:rPr>
          <w:sz w:val="28"/>
          <w:szCs w:val="28"/>
          <w:lang w:val="uk-UA"/>
        </w:rPr>
      </w:pPr>
      <w:r w:rsidRPr="001C2626">
        <w:rPr>
          <w:sz w:val="28"/>
          <w:szCs w:val="28"/>
          <w:lang w:val="uk-UA"/>
        </w:rPr>
        <w:t xml:space="preserve">Наразі в нашому місті функціонує Центр надання адміністративних послуг та його десять територіальних підрозділів (далі-Центр).   </w:t>
      </w:r>
    </w:p>
    <w:p w:rsidR="00143BBA" w:rsidRPr="001C2626" w:rsidRDefault="00143BBA" w:rsidP="00CB7EC9">
      <w:pPr>
        <w:ind w:firstLine="709"/>
        <w:jc w:val="both"/>
        <w:rPr>
          <w:sz w:val="28"/>
          <w:szCs w:val="28"/>
          <w:lang w:val="uk-UA"/>
        </w:rPr>
      </w:pPr>
      <w:r w:rsidRPr="001C2626">
        <w:rPr>
          <w:sz w:val="28"/>
          <w:szCs w:val="28"/>
          <w:lang w:val="uk-UA"/>
        </w:rPr>
        <w:t xml:space="preserve">У звітному періоді до Центру за отриманням різноманітних послуг зафіксовано 347889 звернень, що на 3,2% менш аналогічного періоду </w:t>
      </w:r>
      <w:r>
        <w:rPr>
          <w:sz w:val="28"/>
          <w:szCs w:val="28"/>
          <w:lang w:val="uk-UA"/>
        </w:rPr>
        <w:t xml:space="preserve">       </w:t>
      </w:r>
      <w:r w:rsidRPr="001C2626">
        <w:rPr>
          <w:sz w:val="28"/>
          <w:szCs w:val="28"/>
          <w:lang w:val="uk-UA"/>
        </w:rPr>
        <w:t>2019 року.</w:t>
      </w:r>
    </w:p>
    <w:p w:rsidR="00143BBA" w:rsidRPr="001C2626" w:rsidRDefault="00143BBA" w:rsidP="00CB7EC9">
      <w:pPr>
        <w:ind w:firstLine="709"/>
        <w:jc w:val="both"/>
        <w:rPr>
          <w:color w:val="000000"/>
          <w:sz w:val="28"/>
          <w:szCs w:val="28"/>
          <w:lang w:val="uk-UA"/>
        </w:rPr>
      </w:pPr>
      <w:r w:rsidRPr="001C2626">
        <w:rPr>
          <w:sz w:val="28"/>
          <w:szCs w:val="28"/>
          <w:lang w:val="uk-UA"/>
        </w:rPr>
        <w:t xml:space="preserve">Це обумовлено наступним. </w:t>
      </w:r>
      <w:r w:rsidRPr="001C2626">
        <w:rPr>
          <w:color w:val="000000"/>
          <w:sz w:val="28"/>
          <w:szCs w:val="28"/>
          <w:shd w:val="clear" w:color="auto" w:fill="FFFFFF"/>
          <w:lang w:val="uk-UA"/>
        </w:rPr>
        <w:t>На виконання вимог постанови Кабінету Міністрів України від 11.03.2020 №211 «Про запобігання поширенню на території України коронавірусу COVID-19</w:t>
      </w:r>
      <w:r>
        <w:rPr>
          <w:color w:val="000000"/>
          <w:sz w:val="28"/>
          <w:szCs w:val="28"/>
          <w:shd w:val="clear" w:color="auto" w:fill="FFFFFF"/>
          <w:lang w:val="uk-UA"/>
        </w:rPr>
        <w:t xml:space="preserve">, </w:t>
      </w:r>
      <w:r w:rsidRPr="001C2626">
        <w:rPr>
          <w:sz w:val="28"/>
          <w:szCs w:val="28"/>
          <w:shd w:val="clear" w:color="auto" w:fill="FFFFFF"/>
          <w:lang w:val="uk-UA"/>
        </w:rPr>
        <w:t>спричиненої коронавірусом SARS-CoV-2</w:t>
      </w:r>
      <w:r w:rsidRPr="001C2626">
        <w:rPr>
          <w:color w:val="000000"/>
          <w:sz w:val="28"/>
          <w:szCs w:val="28"/>
          <w:shd w:val="clear" w:color="auto" w:fill="FFFFFF"/>
          <w:lang w:val="uk-UA"/>
        </w:rPr>
        <w:t xml:space="preserve">»,  розпорядження Харківського міського голови від 11.03.2020 № 50, протоколу позачергового засідання міської комісії  з питань техногенно-екологічної безпеки та надзвичайних ситуацій від 16.03.2020 на період карантину в Центрі надання адміністративних послуг м. Харкова та його територіальних підрозділах  з 17.03.2020 запроваджено </w:t>
      </w:r>
      <w:r w:rsidRPr="001C2626">
        <w:rPr>
          <w:color w:val="000000"/>
          <w:sz w:val="28"/>
          <w:szCs w:val="28"/>
          <w:lang w:val="uk-UA"/>
        </w:rPr>
        <w:t>прийом відвідувачів виключно </w:t>
      </w:r>
      <w:r w:rsidRPr="001C2626">
        <w:rPr>
          <w:rStyle w:val="Emphasis"/>
          <w:bCs/>
          <w:i w:val="0"/>
          <w:iCs w:val="0"/>
          <w:color w:val="000000"/>
          <w:sz w:val="28"/>
          <w:szCs w:val="28"/>
          <w:lang w:val="uk-UA"/>
        </w:rPr>
        <w:t>за попереднім</w:t>
      </w:r>
      <w:r w:rsidRPr="001C2626">
        <w:rPr>
          <w:color w:val="000000"/>
          <w:sz w:val="28"/>
          <w:szCs w:val="28"/>
          <w:lang w:val="uk-UA"/>
        </w:rPr>
        <w:t> онлайн-</w:t>
      </w:r>
      <w:r w:rsidRPr="001C2626">
        <w:rPr>
          <w:rStyle w:val="Emphasis"/>
          <w:bCs/>
          <w:i w:val="0"/>
          <w:iCs w:val="0"/>
          <w:color w:val="000000"/>
          <w:sz w:val="28"/>
          <w:szCs w:val="28"/>
          <w:lang w:val="uk-UA"/>
        </w:rPr>
        <w:t>записом</w:t>
      </w:r>
      <w:r w:rsidRPr="001C2626">
        <w:rPr>
          <w:color w:val="000000"/>
          <w:sz w:val="28"/>
          <w:szCs w:val="28"/>
          <w:lang w:val="uk-UA"/>
        </w:rPr>
        <w:t> на сайті dozvil.kh.ua, або через Call-центр за телефонами:  + 38057-725-03-33; + 38-063-725-03-33; + 38-098-725-03-33;+ 38-099-725-03-33.</w:t>
      </w:r>
    </w:p>
    <w:p w:rsidR="00143BBA" w:rsidRPr="001C2626" w:rsidRDefault="00143BBA" w:rsidP="00CB7EC9">
      <w:pPr>
        <w:ind w:firstLine="709"/>
        <w:jc w:val="both"/>
        <w:rPr>
          <w:sz w:val="28"/>
          <w:szCs w:val="28"/>
          <w:lang w:val="uk-UA"/>
        </w:rPr>
      </w:pPr>
      <w:r w:rsidRPr="001C2626">
        <w:rPr>
          <w:color w:val="000000"/>
          <w:sz w:val="28"/>
          <w:szCs w:val="28"/>
          <w:lang w:val="uk-UA"/>
        </w:rPr>
        <w:t xml:space="preserve">Також, </w:t>
      </w:r>
      <w:r w:rsidRPr="001C2626">
        <w:rPr>
          <w:sz w:val="28"/>
          <w:szCs w:val="28"/>
          <w:lang w:val="uk-UA"/>
        </w:rPr>
        <w:t>відповідно до постанови Кабінету Міністрів України від 20.03.2020 № 242 «Про внесення змін до постанови Кабінету Міністрів України від 11 березня 2020 р. № 211» та розпорядження Харківського міського голови від 31.03.2020 №  68</w:t>
      </w:r>
      <w:r>
        <w:rPr>
          <w:sz w:val="28"/>
          <w:szCs w:val="28"/>
          <w:lang w:val="uk-UA"/>
        </w:rPr>
        <w:t xml:space="preserve"> </w:t>
      </w:r>
      <w:r w:rsidRPr="001C2626">
        <w:rPr>
          <w:sz w:val="28"/>
          <w:szCs w:val="28"/>
          <w:shd w:val="clear" w:color="auto" w:fill="FFFFFF"/>
          <w:lang w:val="uk-UA"/>
        </w:rPr>
        <w:t>«Про додаткові заходи в сфері надання адміністративних та соціальних послуг щодо запобігання поширенню на території міста Харкова гострої респіраторної хвороби COVID-19, спричиненої коронавірусом SARS-CoV-2»</w:t>
      </w:r>
      <w:r>
        <w:rPr>
          <w:sz w:val="28"/>
          <w:szCs w:val="28"/>
          <w:shd w:val="clear" w:color="auto" w:fill="FFFFFF"/>
          <w:lang w:val="uk-UA"/>
        </w:rPr>
        <w:t xml:space="preserve"> </w:t>
      </w:r>
      <w:r w:rsidRPr="001C2626">
        <w:rPr>
          <w:sz w:val="28"/>
          <w:szCs w:val="28"/>
          <w:lang w:val="uk-UA"/>
        </w:rPr>
        <w:t>значно скорочено перелік адміністративних послуг, які надаються через Центр у період дії карантину.</w:t>
      </w:r>
    </w:p>
    <w:p w:rsidR="00143BBA" w:rsidRPr="001C2626" w:rsidRDefault="00143BBA" w:rsidP="00CB7EC9">
      <w:pPr>
        <w:ind w:firstLine="709"/>
        <w:jc w:val="both"/>
        <w:rPr>
          <w:sz w:val="28"/>
          <w:szCs w:val="28"/>
          <w:lang w:val="uk-UA"/>
        </w:rPr>
      </w:pPr>
      <w:r w:rsidRPr="001C2626">
        <w:rPr>
          <w:sz w:val="28"/>
          <w:szCs w:val="28"/>
          <w:lang w:val="uk-UA"/>
        </w:rPr>
        <w:t>Крім цього,</w:t>
      </w:r>
      <w:r>
        <w:rPr>
          <w:sz w:val="28"/>
          <w:szCs w:val="28"/>
          <w:lang w:val="uk-UA"/>
        </w:rPr>
        <w:t xml:space="preserve"> </w:t>
      </w:r>
      <w:r w:rsidRPr="001C2626">
        <w:rPr>
          <w:sz w:val="28"/>
          <w:szCs w:val="28"/>
          <w:lang w:val="uk-UA"/>
        </w:rPr>
        <w:t xml:space="preserve">припинено надання адміністративних послуг поза межами Центру окремим категоріям громадян міста. </w:t>
      </w:r>
    </w:p>
    <w:p w:rsidR="00143BBA" w:rsidRPr="001C2626" w:rsidRDefault="00143BBA" w:rsidP="00CB7EC9">
      <w:pPr>
        <w:ind w:firstLine="709"/>
        <w:jc w:val="both"/>
        <w:rPr>
          <w:sz w:val="28"/>
          <w:szCs w:val="28"/>
          <w:lang w:val="uk-UA"/>
        </w:rPr>
      </w:pPr>
      <w:r w:rsidRPr="001C2626">
        <w:rPr>
          <w:sz w:val="28"/>
          <w:szCs w:val="28"/>
          <w:lang w:val="uk-UA"/>
        </w:rPr>
        <w:t xml:space="preserve">В той же час значно збільшилась кількість консультацій суб’єктів звернень з питань надання різноманітних послуг через </w:t>
      </w:r>
      <w:r w:rsidRPr="001C2626">
        <w:rPr>
          <w:color w:val="000000"/>
          <w:sz w:val="28"/>
          <w:szCs w:val="28"/>
          <w:lang w:val="uk-UA"/>
        </w:rPr>
        <w:t>Call-центр</w:t>
      </w:r>
      <w:r w:rsidRPr="001C2626">
        <w:rPr>
          <w:sz w:val="28"/>
          <w:szCs w:val="28"/>
          <w:lang w:val="uk-UA"/>
        </w:rPr>
        <w:t xml:space="preserve"> за допомогою голосових каналів зв’язку. У звітному періоді надано </w:t>
      </w:r>
      <w:r>
        <w:rPr>
          <w:sz w:val="28"/>
          <w:szCs w:val="28"/>
          <w:lang w:val="uk-UA"/>
        </w:rPr>
        <w:t xml:space="preserve">            </w:t>
      </w:r>
      <w:r w:rsidRPr="001C2626">
        <w:rPr>
          <w:sz w:val="28"/>
          <w:szCs w:val="28"/>
          <w:lang w:val="uk-UA"/>
        </w:rPr>
        <w:t>37532 консультацій, це на 45% більше аналогічного періоду 2019 року.</w:t>
      </w:r>
    </w:p>
    <w:p w:rsidR="00143BBA" w:rsidRPr="001C2626" w:rsidRDefault="00143BBA" w:rsidP="00CB7EC9">
      <w:pPr>
        <w:ind w:firstLine="709"/>
        <w:jc w:val="both"/>
        <w:rPr>
          <w:sz w:val="28"/>
          <w:szCs w:val="28"/>
          <w:lang w:val="uk-UA"/>
        </w:rPr>
      </w:pPr>
      <w:r>
        <w:rPr>
          <w:sz w:val="28"/>
          <w:szCs w:val="28"/>
          <w:lang w:val="uk-UA"/>
        </w:rPr>
        <w:t>У</w:t>
      </w:r>
      <w:r w:rsidRPr="001C2626">
        <w:rPr>
          <w:sz w:val="28"/>
          <w:szCs w:val="28"/>
          <w:lang w:val="uk-UA"/>
        </w:rPr>
        <w:t xml:space="preserve"> Центрі триває реалізація Проекту «Агент Х», який спрямовано на те, щоб спільно з мешканцями  міста Харкова поліпшити сервіс надання різноманітних послуг.</w:t>
      </w:r>
    </w:p>
    <w:p w:rsidR="00143BBA" w:rsidRPr="001C2626" w:rsidRDefault="00143BBA" w:rsidP="00CB7EC9">
      <w:pPr>
        <w:ind w:firstLine="709"/>
        <w:jc w:val="both"/>
        <w:rPr>
          <w:sz w:val="28"/>
          <w:szCs w:val="28"/>
          <w:lang w:val="uk-UA"/>
        </w:rPr>
      </w:pPr>
      <w:r w:rsidRPr="001C2626">
        <w:rPr>
          <w:sz w:val="28"/>
          <w:szCs w:val="28"/>
          <w:lang w:val="uk-UA"/>
        </w:rPr>
        <w:t>За допомогою QR-коду, яки</w:t>
      </w:r>
      <w:r>
        <w:rPr>
          <w:sz w:val="28"/>
          <w:szCs w:val="28"/>
          <w:lang w:val="uk-UA"/>
        </w:rPr>
        <w:t xml:space="preserve">й розміщено на робочому столі </w:t>
      </w:r>
      <w:r w:rsidRPr="001C2626">
        <w:rPr>
          <w:sz w:val="28"/>
          <w:szCs w:val="28"/>
          <w:lang w:val="uk-UA"/>
        </w:rPr>
        <w:t xml:space="preserve">кожного адміністратора, відвідувачам </w:t>
      </w:r>
      <w:r>
        <w:rPr>
          <w:sz w:val="28"/>
          <w:szCs w:val="28"/>
          <w:lang w:val="uk-UA"/>
        </w:rPr>
        <w:t>Ц</w:t>
      </w:r>
      <w:r w:rsidRPr="001C2626">
        <w:rPr>
          <w:sz w:val="28"/>
          <w:szCs w:val="28"/>
          <w:lang w:val="uk-UA"/>
        </w:rPr>
        <w:t xml:space="preserve">ентрів з мобільного телефону пропонується заповнити відповідну анкету і залишити свій відгук, побажання і рекомендації по роботі та обслуговуванню </w:t>
      </w:r>
      <w:r>
        <w:rPr>
          <w:sz w:val="28"/>
          <w:szCs w:val="28"/>
          <w:lang w:val="uk-UA"/>
        </w:rPr>
        <w:t>в</w:t>
      </w:r>
      <w:r w:rsidRPr="001C2626">
        <w:rPr>
          <w:sz w:val="28"/>
          <w:szCs w:val="28"/>
          <w:lang w:val="uk-UA"/>
        </w:rPr>
        <w:t xml:space="preserve"> </w:t>
      </w:r>
      <w:r>
        <w:rPr>
          <w:sz w:val="28"/>
          <w:szCs w:val="28"/>
          <w:lang w:val="uk-UA"/>
        </w:rPr>
        <w:t>Ц</w:t>
      </w:r>
      <w:r w:rsidRPr="001C2626">
        <w:rPr>
          <w:sz w:val="28"/>
          <w:szCs w:val="28"/>
          <w:lang w:val="uk-UA"/>
        </w:rPr>
        <w:t xml:space="preserve">ентрах, а бажаючі заповнити анкету </w:t>
      </w:r>
      <w:r>
        <w:rPr>
          <w:sz w:val="28"/>
          <w:szCs w:val="28"/>
          <w:lang w:val="uk-UA"/>
        </w:rPr>
        <w:t>в</w:t>
      </w:r>
      <w:r w:rsidRPr="001C2626">
        <w:rPr>
          <w:sz w:val="28"/>
          <w:szCs w:val="28"/>
          <w:lang w:val="uk-UA"/>
        </w:rPr>
        <w:t xml:space="preserve"> паперовому вигляді можуть це зробити в зоні очікування на рецепції  або безпосередньо у адміністратора Центру. </w:t>
      </w:r>
    </w:p>
    <w:p w:rsidR="00143BBA" w:rsidRPr="001C2626" w:rsidRDefault="00143BBA" w:rsidP="00CB7EC9">
      <w:pPr>
        <w:ind w:firstLine="709"/>
        <w:jc w:val="both"/>
        <w:rPr>
          <w:sz w:val="28"/>
          <w:szCs w:val="28"/>
          <w:lang w:val="uk-UA"/>
        </w:rPr>
      </w:pPr>
      <w:r w:rsidRPr="001C2626">
        <w:rPr>
          <w:sz w:val="28"/>
          <w:szCs w:val="28"/>
          <w:lang w:val="uk-UA"/>
        </w:rPr>
        <w:t xml:space="preserve">За </w:t>
      </w:r>
      <w:r>
        <w:rPr>
          <w:sz w:val="28"/>
          <w:szCs w:val="28"/>
          <w:lang w:val="en-US"/>
        </w:rPr>
        <w:t>I</w:t>
      </w:r>
      <w:r w:rsidRPr="00D871A9">
        <w:rPr>
          <w:sz w:val="28"/>
          <w:szCs w:val="28"/>
        </w:rPr>
        <w:t xml:space="preserve"> </w:t>
      </w:r>
      <w:r>
        <w:rPr>
          <w:sz w:val="28"/>
          <w:szCs w:val="28"/>
          <w:lang w:val="uk-UA"/>
        </w:rPr>
        <w:t xml:space="preserve">квартал </w:t>
      </w:r>
      <w:r w:rsidRPr="001C2626">
        <w:rPr>
          <w:sz w:val="28"/>
          <w:szCs w:val="28"/>
          <w:lang w:val="uk-UA"/>
        </w:rPr>
        <w:t>2020 року участь в анкетуванні взяло 511 відвідувачів Центру,  97% респондентів задоволені візитом до Центру.</w:t>
      </w:r>
    </w:p>
    <w:p w:rsidR="00143BBA" w:rsidRPr="001C2626" w:rsidRDefault="00143BBA" w:rsidP="00CB7EC9">
      <w:pPr>
        <w:ind w:firstLine="709"/>
        <w:jc w:val="both"/>
        <w:rPr>
          <w:sz w:val="28"/>
          <w:szCs w:val="28"/>
          <w:lang w:val="uk-UA"/>
        </w:rPr>
      </w:pPr>
      <w:r w:rsidRPr="001C2626">
        <w:rPr>
          <w:sz w:val="28"/>
          <w:szCs w:val="28"/>
          <w:lang w:val="uk-UA"/>
        </w:rPr>
        <w:t>Крім цього, фактично з березня 2020 року через Центр запроваджено пілотний проект є Малятко, який передбачає спрощення адміністративних послуг, пов’язаних із народженням дитини, а саме надання повного комплексу послуг за однією заявою:</w:t>
      </w:r>
    </w:p>
    <w:p w:rsidR="00143BBA" w:rsidRPr="001C2626" w:rsidRDefault="00143BBA" w:rsidP="001C2626">
      <w:pPr>
        <w:ind w:firstLine="567"/>
        <w:jc w:val="both"/>
        <w:rPr>
          <w:sz w:val="28"/>
          <w:szCs w:val="28"/>
          <w:lang w:val="uk-UA"/>
        </w:rPr>
      </w:pPr>
      <w:r w:rsidRPr="001C2626">
        <w:rPr>
          <w:sz w:val="28"/>
          <w:szCs w:val="28"/>
          <w:lang w:val="uk-UA"/>
        </w:rPr>
        <w:t>•</w:t>
      </w:r>
      <w:r w:rsidRPr="001C2626">
        <w:rPr>
          <w:sz w:val="28"/>
          <w:szCs w:val="28"/>
          <w:lang w:val="uk-UA"/>
        </w:rPr>
        <w:tab/>
        <w:t>державна реєстрація народженої дитини;</w:t>
      </w:r>
    </w:p>
    <w:p w:rsidR="00143BBA" w:rsidRPr="001C2626" w:rsidRDefault="00143BBA" w:rsidP="001C2626">
      <w:pPr>
        <w:ind w:firstLine="567"/>
        <w:jc w:val="both"/>
        <w:rPr>
          <w:sz w:val="28"/>
          <w:szCs w:val="28"/>
          <w:lang w:val="uk-UA"/>
        </w:rPr>
      </w:pPr>
      <w:r w:rsidRPr="001C2626">
        <w:rPr>
          <w:sz w:val="28"/>
          <w:szCs w:val="28"/>
          <w:lang w:val="uk-UA"/>
        </w:rPr>
        <w:t>•</w:t>
      </w:r>
      <w:r w:rsidRPr="001C2626">
        <w:rPr>
          <w:sz w:val="28"/>
          <w:szCs w:val="28"/>
          <w:lang w:val="uk-UA"/>
        </w:rPr>
        <w:tab/>
        <w:t>реєстрація місця проживання дитини;</w:t>
      </w:r>
    </w:p>
    <w:p w:rsidR="00143BBA" w:rsidRPr="001C2626" w:rsidRDefault="00143BBA" w:rsidP="001C2626">
      <w:pPr>
        <w:ind w:firstLine="567"/>
        <w:jc w:val="both"/>
        <w:rPr>
          <w:sz w:val="28"/>
          <w:szCs w:val="28"/>
          <w:lang w:val="uk-UA"/>
        </w:rPr>
      </w:pPr>
      <w:r w:rsidRPr="001C2626">
        <w:rPr>
          <w:sz w:val="28"/>
          <w:szCs w:val="28"/>
          <w:lang w:val="uk-UA"/>
        </w:rPr>
        <w:t>•</w:t>
      </w:r>
      <w:r w:rsidRPr="001C2626">
        <w:rPr>
          <w:sz w:val="28"/>
          <w:szCs w:val="28"/>
          <w:lang w:val="uk-UA"/>
        </w:rPr>
        <w:tab/>
        <w:t>призначення допомоги при народженні дитини;</w:t>
      </w:r>
    </w:p>
    <w:p w:rsidR="00143BBA" w:rsidRPr="001C2626" w:rsidRDefault="00143BBA" w:rsidP="001C2626">
      <w:pPr>
        <w:ind w:firstLine="567"/>
        <w:jc w:val="both"/>
        <w:rPr>
          <w:sz w:val="28"/>
          <w:szCs w:val="28"/>
          <w:lang w:val="uk-UA"/>
        </w:rPr>
      </w:pPr>
      <w:r w:rsidRPr="001C2626">
        <w:rPr>
          <w:sz w:val="28"/>
          <w:szCs w:val="28"/>
          <w:lang w:val="uk-UA"/>
        </w:rPr>
        <w:t>•</w:t>
      </w:r>
      <w:r w:rsidRPr="001C2626">
        <w:rPr>
          <w:sz w:val="28"/>
          <w:szCs w:val="28"/>
          <w:lang w:val="uk-UA"/>
        </w:rPr>
        <w:tab/>
        <w:t>реєстрація народженої дитини в електронній системі охорони здоров’я;</w:t>
      </w:r>
    </w:p>
    <w:p w:rsidR="00143BBA" w:rsidRPr="001C2626" w:rsidRDefault="00143BBA" w:rsidP="001C2626">
      <w:pPr>
        <w:ind w:firstLine="567"/>
        <w:jc w:val="both"/>
        <w:rPr>
          <w:sz w:val="28"/>
          <w:szCs w:val="28"/>
          <w:lang w:val="uk-UA"/>
        </w:rPr>
      </w:pPr>
      <w:r w:rsidRPr="001C2626">
        <w:rPr>
          <w:sz w:val="28"/>
          <w:szCs w:val="28"/>
          <w:lang w:val="uk-UA"/>
        </w:rPr>
        <w:t>•</w:t>
      </w:r>
      <w:r w:rsidRPr="001C2626">
        <w:rPr>
          <w:sz w:val="28"/>
          <w:szCs w:val="28"/>
          <w:lang w:val="uk-UA"/>
        </w:rPr>
        <w:tab/>
        <w:t>видача посвідчень батьків багатодітної сім’ї та дитини з багатодітної сім’ї (за певних умов);</w:t>
      </w:r>
    </w:p>
    <w:p w:rsidR="00143BBA" w:rsidRPr="001C2626" w:rsidRDefault="00143BBA" w:rsidP="001C2626">
      <w:pPr>
        <w:ind w:firstLine="567"/>
        <w:jc w:val="both"/>
        <w:rPr>
          <w:sz w:val="28"/>
          <w:szCs w:val="28"/>
          <w:lang w:val="uk-UA"/>
        </w:rPr>
      </w:pPr>
      <w:r w:rsidRPr="001C2626">
        <w:rPr>
          <w:sz w:val="28"/>
          <w:szCs w:val="28"/>
          <w:lang w:val="uk-UA"/>
        </w:rPr>
        <w:t>•</w:t>
      </w:r>
      <w:r w:rsidRPr="001C2626">
        <w:rPr>
          <w:sz w:val="28"/>
          <w:szCs w:val="28"/>
          <w:lang w:val="uk-UA"/>
        </w:rPr>
        <w:tab/>
        <w:t>реєстрація в демографічному реєстрі;</w:t>
      </w:r>
    </w:p>
    <w:p w:rsidR="00143BBA" w:rsidRPr="001C2626" w:rsidRDefault="00143BBA" w:rsidP="001C2626">
      <w:pPr>
        <w:ind w:firstLine="567"/>
        <w:jc w:val="both"/>
        <w:rPr>
          <w:sz w:val="28"/>
          <w:szCs w:val="28"/>
          <w:lang w:val="uk-UA"/>
        </w:rPr>
      </w:pPr>
      <w:r w:rsidRPr="001C2626">
        <w:rPr>
          <w:sz w:val="28"/>
          <w:szCs w:val="28"/>
          <w:lang w:val="uk-UA"/>
        </w:rPr>
        <w:t>•</w:t>
      </w:r>
      <w:r w:rsidRPr="001C2626">
        <w:rPr>
          <w:sz w:val="28"/>
          <w:szCs w:val="28"/>
          <w:lang w:val="uk-UA"/>
        </w:rPr>
        <w:tab/>
        <w:t>визначення походження народження дитини (якщо батьки не перебувають у зареєстрованому шлюбі);</w:t>
      </w:r>
    </w:p>
    <w:p w:rsidR="00143BBA" w:rsidRPr="001C2626" w:rsidRDefault="00143BBA" w:rsidP="001C2626">
      <w:pPr>
        <w:ind w:firstLine="567"/>
        <w:jc w:val="both"/>
        <w:rPr>
          <w:sz w:val="28"/>
          <w:szCs w:val="28"/>
          <w:lang w:val="uk-UA"/>
        </w:rPr>
      </w:pPr>
      <w:r w:rsidRPr="001C2626">
        <w:rPr>
          <w:sz w:val="28"/>
          <w:szCs w:val="28"/>
          <w:lang w:val="uk-UA"/>
        </w:rPr>
        <w:t>•</w:t>
      </w:r>
      <w:r w:rsidRPr="001C2626">
        <w:rPr>
          <w:sz w:val="28"/>
          <w:szCs w:val="28"/>
          <w:lang w:val="uk-UA"/>
        </w:rPr>
        <w:tab/>
        <w:t>реєстрація в державному реєстрі фізичних осіб-платників податків;</w:t>
      </w:r>
    </w:p>
    <w:p w:rsidR="00143BBA" w:rsidRPr="001C2626" w:rsidRDefault="00143BBA" w:rsidP="001C2626">
      <w:pPr>
        <w:ind w:firstLine="567"/>
        <w:jc w:val="both"/>
        <w:rPr>
          <w:sz w:val="28"/>
          <w:szCs w:val="28"/>
          <w:lang w:val="uk-UA"/>
        </w:rPr>
      </w:pPr>
      <w:r w:rsidRPr="001C2626">
        <w:rPr>
          <w:sz w:val="28"/>
          <w:szCs w:val="28"/>
          <w:lang w:val="uk-UA"/>
        </w:rPr>
        <w:t>•</w:t>
      </w:r>
      <w:r w:rsidRPr="001C2626">
        <w:rPr>
          <w:sz w:val="28"/>
          <w:szCs w:val="28"/>
          <w:lang w:val="uk-UA"/>
        </w:rPr>
        <w:tab/>
        <w:t>визначення належності дитини до громадянства України.</w:t>
      </w:r>
    </w:p>
    <w:p w:rsidR="00143BBA" w:rsidRPr="001C2626" w:rsidRDefault="00143BBA" w:rsidP="00CB7EC9">
      <w:pPr>
        <w:ind w:firstLine="709"/>
        <w:jc w:val="both"/>
        <w:rPr>
          <w:sz w:val="28"/>
          <w:szCs w:val="28"/>
          <w:lang w:val="uk-UA"/>
        </w:rPr>
      </w:pPr>
      <w:r w:rsidRPr="001C2626">
        <w:rPr>
          <w:sz w:val="28"/>
          <w:szCs w:val="28"/>
          <w:lang w:val="uk-UA"/>
        </w:rPr>
        <w:t>У звітному періоді в Центрі надано послугу є Малятко 141 родині.</w:t>
      </w:r>
    </w:p>
    <w:p w:rsidR="00143BBA" w:rsidRPr="001C2626" w:rsidRDefault="00143BBA" w:rsidP="00CB7EC9">
      <w:pPr>
        <w:ind w:firstLine="709"/>
        <w:jc w:val="both"/>
        <w:rPr>
          <w:sz w:val="28"/>
          <w:szCs w:val="28"/>
          <w:lang w:val="uk-UA"/>
        </w:rPr>
      </w:pPr>
      <w:r>
        <w:rPr>
          <w:sz w:val="28"/>
          <w:szCs w:val="28"/>
          <w:lang w:val="uk-UA"/>
        </w:rPr>
        <w:t xml:space="preserve">У </w:t>
      </w:r>
      <w:r>
        <w:rPr>
          <w:sz w:val="28"/>
          <w:szCs w:val="28"/>
          <w:lang w:val="en-US"/>
        </w:rPr>
        <w:t>I</w:t>
      </w:r>
      <w:r w:rsidRPr="00D871A9">
        <w:rPr>
          <w:sz w:val="28"/>
          <w:szCs w:val="28"/>
        </w:rPr>
        <w:t xml:space="preserve"> </w:t>
      </w:r>
      <w:r>
        <w:rPr>
          <w:sz w:val="28"/>
          <w:szCs w:val="28"/>
          <w:lang w:val="uk-UA"/>
        </w:rPr>
        <w:t xml:space="preserve">кварталі </w:t>
      </w:r>
      <w:r w:rsidRPr="001C2626">
        <w:rPr>
          <w:sz w:val="28"/>
          <w:szCs w:val="28"/>
          <w:lang w:val="uk-UA"/>
        </w:rPr>
        <w:t xml:space="preserve">2020 </w:t>
      </w:r>
      <w:r>
        <w:rPr>
          <w:sz w:val="28"/>
          <w:szCs w:val="28"/>
          <w:lang w:val="uk-UA"/>
        </w:rPr>
        <w:t xml:space="preserve">року </w:t>
      </w:r>
      <w:r w:rsidRPr="001C2626">
        <w:rPr>
          <w:sz w:val="28"/>
          <w:szCs w:val="28"/>
          <w:lang w:val="uk-UA"/>
        </w:rPr>
        <w:t>було організовано проведення навчальних заходів для адміністраторів Центру.</w:t>
      </w:r>
    </w:p>
    <w:p w:rsidR="00143BBA" w:rsidRPr="001C2626" w:rsidRDefault="00143BBA" w:rsidP="00CB7EC9">
      <w:pPr>
        <w:ind w:firstLine="709"/>
        <w:jc w:val="both"/>
        <w:rPr>
          <w:sz w:val="28"/>
          <w:szCs w:val="28"/>
          <w:lang w:val="uk-UA"/>
        </w:rPr>
      </w:pPr>
      <w:r w:rsidRPr="001C2626">
        <w:rPr>
          <w:sz w:val="28"/>
          <w:szCs w:val="28"/>
          <w:lang w:val="uk-UA"/>
        </w:rPr>
        <w:t>Представниками Регіонального сервісного центру МВС в Харківській області проведено цикл навчальних заходів з адміністраторами Центру, на яких покладені обов’язки співробітництва у сфері надання адміністративних послуг, що надаються через Центр територіальними органами з надання сервісних послуг Міністерства внутрішніх справ.</w:t>
      </w:r>
    </w:p>
    <w:p w:rsidR="00143BBA" w:rsidRPr="001C2626" w:rsidRDefault="00143BBA" w:rsidP="008142B6">
      <w:pPr>
        <w:ind w:firstLine="709"/>
        <w:jc w:val="both"/>
        <w:rPr>
          <w:sz w:val="28"/>
          <w:szCs w:val="28"/>
          <w:lang w:val="uk-UA"/>
        </w:rPr>
      </w:pPr>
      <w:r w:rsidRPr="001C2626">
        <w:rPr>
          <w:sz w:val="28"/>
          <w:szCs w:val="28"/>
          <w:lang w:val="uk-UA"/>
        </w:rPr>
        <w:t>Також</w:t>
      </w:r>
      <w:r>
        <w:rPr>
          <w:sz w:val="28"/>
          <w:szCs w:val="28"/>
          <w:lang w:val="uk-UA"/>
        </w:rPr>
        <w:t>,</w:t>
      </w:r>
      <w:r w:rsidRPr="001C2626">
        <w:rPr>
          <w:sz w:val="28"/>
          <w:szCs w:val="28"/>
          <w:lang w:val="uk-UA"/>
        </w:rPr>
        <w:t xml:space="preserve"> адміністратори Центру </w:t>
      </w:r>
      <w:r>
        <w:rPr>
          <w:sz w:val="28"/>
          <w:szCs w:val="28"/>
          <w:lang w:val="uk-UA"/>
        </w:rPr>
        <w:t xml:space="preserve">брали </w:t>
      </w:r>
      <w:r w:rsidRPr="001C2626">
        <w:rPr>
          <w:sz w:val="28"/>
          <w:szCs w:val="28"/>
          <w:lang w:val="uk-UA"/>
        </w:rPr>
        <w:t xml:space="preserve">участь у психологічному онлайн – вебінарі «Як адаптуватися до нових умов роботи», який організовано Міністерством цифрової трансформації України у період карантину. </w:t>
      </w:r>
    </w:p>
    <w:p w:rsidR="00143BBA" w:rsidRPr="001C2626" w:rsidRDefault="00143BBA" w:rsidP="008142B6">
      <w:pPr>
        <w:ind w:firstLine="709"/>
        <w:jc w:val="both"/>
        <w:rPr>
          <w:sz w:val="28"/>
          <w:szCs w:val="28"/>
          <w:lang w:val="uk-UA"/>
        </w:rPr>
      </w:pPr>
      <w:r w:rsidRPr="001C2626">
        <w:rPr>
          <w:sz w:val="28"/>
          <w:szCs w:val="28"/>
          <w:lang w:val="uk-UA"/>
        </w:rPr>
        <w:t>Спільно з фахівцями Департаменту містобудування та архітектури Харківської міської ради адміністратори Центру обговорювали  проблемні питання при наданні адміністративної послуги «Видача будівельного паспорта забудови земельної ділянки (внесення змін до будівельного паспорта забудови земельної ділянки)».</w:t>
      </w:r>
    </w:p>
    <w:p w:rsidR="00143BBA" w:rsidRPr="001C2626" w:rsidRDefault="00143BBA" w:rsidP="008142B6">
      <w:pPr>
        <w:ind w:firstLine="709"/>
        <w:jc w:val="both"/>
        <w:rPr>
          <w:sz w:val="28"/>
          <w:szCs w:val="28"/>
          <w:lang w:val="uk-UA"/>
        </w:rPr>
      </w:pPr>
      <w:r w:rsidRPr="001C2626">
        <w:rPr>
          <w:sz w:val="28"/>
          <w:szCs w:val="28"/>
          <w:lang w:val="uk-UA"/>
        </w:rPr>
        <w:t xml:space="preserve">Крім цього, адміністратори Центру </w:t>
      </w:r>
      <w:r>
        <w:rPr>
          <w:sz w:val="28"/>
          <w:szCs w:val="28"/>
          <w:lang w:val="uk-UA"/>
        </w:rPr>
        <w:t xml:space="preserve">брали </w:t>
      </w:r>
      <w:r w:rsidRPr="001C2626">
        <w:rPr>
          <w:sz w:val="28"/>
          <w:szCs w:val="28"/>
          <w:lang w:val="uk-UA"/>
        </w:rPr>
        <w:t>участь у навчальних психологічних тренінгах в рамках  безкоштовної Програми тренінгів  «Майстерність соціальних взаємодій», які проводили психологи Товариства з обмеженою відповідальністю «Центр управління кар’єрою».</w:t>
      </w:r>
    </w:p>
    <w:p w:rsidR="00143BBA" w:rsidRPr="00A47CBB" w:rsidRDefault="00143BBA" w:rsidP="00A47CBB">
      <w:pPr>
        <w:jc w:val="both"/>
        <w:rPr>
          <w:b/>
          <w:sz w:val="28"/>
          <w:lang w:val="uk-UA"/>
        </w:rPr>
      </w:pPr>
    </w:p>
    <w:p w:rsidR="00143BBA" w:rsidRDefault="00143BBA" w:rsidP="008D7D94">
      <w:pPr>
        <w:jc w:val="both"/>
        <w:rPr>
          <w:b/>
          <w:sz w:val="28"/>
          <w:szCs w:val="28"/>
          <w:lang w:val="uk-UA"/>
        </w:rPr>
      </w:pPr>
      <w:r w:rsidRPr="001704C2">
        <w:rPr>
          <w:b/>
          <w:sz w:val="28"/>
          <w:szCs w:val="28"/>
          <w:lang w:val="uk-UA"/>
        </w:rPr>
        <w:t xml:space="preserve">Розділ </w:t>
      </w:r>
      <w:r w:rsidRPr="004003BE">
        <w:rPr>
          <w:b/>
          <w:sz w:val="28"/>
          <w:szCs w:val="28"/>
          <w:lang w:val="uk-UA"/>
        </w:rPr>
        <w:t>II</w:t>
      </w:r>
      <w:r w:rsidRPr="001704C2">
        <w:rPr>
          <w:b/>
          <w:sz w:val="28"/>
          <w:szCs w:val="28"/>
          <w:lang w:val="uk-UA"/>
        </w:rPr>
        <w:t xml:space="preserve"> «Розвиток підприємництва і ринкової інфраструктури».</w:t>
      </w:r>
    </w:p>
    <w:p w:rsidR="00143BBA" w:rsidRDefault="00143BBA" w:rsidP="004A11CF">
      <w:pPr>
        <w:ind w:firstLine="708"/>
        <w:jc w:val="both"/>
        <w:rPr>
          <w:sz w:val="28"/>
          <w:szCs w:val="28"/>
          <w:lang w:val="uk-UA"/>
        </w:rPr>
      </w:pPr>
      <w:bookmarkStart w:id="0" w:name="_GoBack"/>
      <w:bookmarkEnd w:id="0"/>
      <w:r>
        <w:rPr>
          <w:color w:val="000000"/>
          <w:sz w:val="28"/>
          <w:szCs w:val="28"/>
          <w:lang w:val="uk-UA"/>
        </w:rPr>
        <w:t>Місце і роль малого підприємництва в перехідній економіці визначається тим, що це особливий сектор економіки, який становить основу дрібного виробництва, здійснює швидку окупність затрат і широку свободу ринкового вибору, визначає темпи економічного розвитку, структуру та якісну характеристику ВВП, забезпечує насиченість товарами, послугами та додатковими робочими місцями. Розвиток малого та середнього підприємництва є необхідною умовою переходу всієї економіки на ринкові засади господарювання, ефективної реструктуризації виробництва та підприємств, розв’язання проблем зайнятості, зростання рівня життя населення. Без розвитку малого підприємництва неможливе формування середнього класу, тобто створення надійного фундаменту демократичного суспільства. Малий бізнес має найнижчі інвестиційні потреби, характеризується найшвидшим обігом капіталу. Світовий досвід показує, що він забезпечує у два-три рази більшу ефективність виробничих капіталовкладень і за обсягом коштів, і за терміном віддачі.</w:t>
      </w:r>
    </w:p>
    <w:p w:rsidR="00143BBA" w:rsidRDefault="00143BBA" w:rsidP="004A11CF">
      <w:pPr>
        <w:ind w:firstLine="708"/>
        <w:jc w:val="both"/>
        <w:rPr>
          <w:b/>
          <w:sz w:val="28"/>
          <w:szCs w:val="28"/>
          <w:lang w:val="uk-UA"/>
        </w:rPr>
      </w:pPr>
      <w:r>
        <w:rPr>
          <w:sz w:val="28"/>
          <w:szCs w:val="28"/>
          <w:lang w:val="uk-UA"/>
        </w:rPr>
        <w:t>З метою створення сприятливих умов для розвитку малого і середнього підприємництва, забезпечення його конкурентоспроможності та підвищення ролі у вирішенні завдань соціально-економічного розвитку міста, рішенням 16 сесії Харківської міської ради 7 скликання від 08.11.2017 № 834/17 затверджена Програма підтримки розвитку підприємництва у м. Харкові на 2018-2022 роки (далі - Програма).</w:t>
      </w:r>
    </w:p>
    <w:p w:rsidR="00143BBA" w:rsidRDefault="00143BBA" w:rsidP="004A11CF">
      <w:pPr>
        <w:tabs>
          <w:tab w:val="left" w:pos="567"/>
          <w:tab w:val="left" w:pos="840"/>
        </w:tabs>
        <w:ind w:firstLine="709"/>
        <w:jc w:val="both"/>
        <w:rPr>
          <w:sz w:val="28"/>
          <w:szCs w:val="28"/>
          <w:lang w:val="uk-UA"/>
        </w:rPr>
      </w:pPr>
      <w:r>
        <w:rPr>
          <w:sz w:val="28"/>
          <w:szCs w:val="28"/>
          <w:lang w:val="uk-UA"/>
        </w:rPr>
        <w:t>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місті.</w:t>
      </w:r>
    </w:p>
    <w:p w:rsidR="00143BBA" w:rsidRDefault="00143BBA" w:rsidP="004A11CF">
      <w:pPr>
        <w:pStyle w:val="NormalWeb"/>
        <w:tabs>
          <w:tab w:val="left" w:pos="709"/>
        </w:tabs>
        <w:spacing w:before="0" w:beforeAutospacing="0" w:after="0" w:afterAutospacing="0"/>
        <w:jc w:val="both"/>
        <w:rPr>
          <w:sz w:val="28"/>
          <w:szCs w:val="28"/>
          <w:lang w:val="uk-UA"/>
        </w:rPr>
      </w:pPr>
      <w:r>
        <w:rPr>
          <w:sz w:val="28"/>
          <w:szCs w:val="28"/>
          <w:lang w:val="uk-UA"/>
        </w:rPr>
        <w:tab/>
        <w:t>Фінансування окремих заходів Програми здійснюється за рахунок коштів міського бюджету.</w:t>
      </w:r>
    </w:p>
    <w:p w:rsidR="00143BBA" w:rsidRDefault="00143BBA" w:rsidP="004A11CF">
      <w:pPr>
        <w:ind w:firstLine="708"/>
        <w:jc w:val="both"/>
        <w:rPr>
          <w:sz w:val="28"/>
          <w:szCs w:val="28"/>
          <w:lang w:val="uk-UA"/>
        </w:rPr>
      </w:pPr>
      <w:r>
        <w:rPr>
          <w:sz w:val="28"/>
          <w:szCs w:val="28"/>
          <w:lang w:val="uk-UA"/>
        </w:rPr>
        <w:t xml:space="preserve">В 2020 році </w:t>
      </w:r>
      <w:r>
        <w:rPr>
          <w:color w:val="C0504D"/>
          <w:sz w:val="28"/>
          <w:szCs w:val="28"/>
          <w:lang w:val="uk-UA"/>
        </w:rPr>
        <w:t xml:space="preserve"> </w:t>
      </w:r>
      <w:r>
        <w:rPr>
          <w:sz w:val="28"/>
          <w:szCs w:val="28"/>
          <w:lang w:val="uk-UA"/>
        </w:rPr>
        <w:t xml:space="preserve">фінансування здійснюється  на виконання таких пунктів  Програми: </w:t>
      </w:r>
    </w:p>
    <w:p w:rsidR="00143BBA" w:rsidRDefault="00143BBA" w:rsidP="004A11CF">
      <w:pPr>
        <w:ind w:firstLine="708"/>
        <w:jc w:val="both"/>
        <w:rPr>
          <w:sz w:val="28"/>
          <w:szCs w:val="28"/>
          <w:lang w:val="uk-UA"/>
        </w:rPr>
      </w:pPr>
      <w:r>
        <w:rPr>
          <w:sz w:val="28"/>
          <w:szCs w:val="28"/>
          <w:lang w:val="uk-UA"/>
        </w:rPr>
        <w:t>- пункт 2.1.1. «Модернізація та розширення функціональних можливостей веб-сайту «Підприємництво та споживчий ринок міста Харкова» - 841 000,0 грн;</w:t>
      </w:r>
    </w:p>
    <w:p w:rsidR="00143BBA" w:rsidRDefault="00143BBA" w:rsidP="004A11CF">
      <w:pPr>
        <w:ind w:firstLine="708"/>
        <w:jc w:val="both"/>
        <w:rPr>
          <w:sz w:val="28"/>
          <w:szCs w:val="28"/>
          <w:lang w:val="uk-UA"/>
        </w:rPr>
      </w:pPr>
      <w:r>
        <w:rPr>
          <w:sz w:val="28"/>
          <w:szCs w:val="28"/>
          <w:lang w:val="uk-UA"/>
        </w:rPr>
        <w:t xml:space="preserve">- пункт 2.1.2. «Розвиток і підтримка в актуальному стані електронного сервісу «Бізнес-навігатор» - </w:t>
      </w:r>
      <w:r>
        <w:rPr>
          <w:sz w:val="28"/>
          <w:szCs w:val="28"/>
        </w:rPr>
        <w:t>348 363</w:t>
      </w:r>
      <w:r>
        <w:rPr>
          <w:sz w:val="28"/>
          <w:szCs w:val="28"/>
          <w:lang w:val="uk-UA"/>
        </w:rPr>
        <w:t>,0 грн;</w:t>
      </w:r>
    </w:p>
    <w:p w:rsidR="00143BBA" w:rsidRDefault="00143BBA" w:rsidP="004A11CF">
      <w:pPr>
        <w:ind w:firstLine="708"/>
        <w:jc w:val="both"/>
        <w:rPr>
          <w:sz w:val="28"/>
          <w:szCs w:val="28"/>
          <w:lang w:val="uk-UA"/>
        </w:rPr>
      </w:pPr>
      <w:r>
        <w:rPr>
          <w:sz w:val="28"/>
          <w:szCs w:val="28"/>
          <w:lang w:val="uk-UA"/>
        </w:rPr>
        <w:t xml:space="preserve">- пункт 2.1.3 «Створення електронного сервісу «Онлайн-консультант» - </w:t>
      </w:r>
      <w:r>
        <w:rPr>
          <w:sz w:val="28"/>
          <w:szCs w:val="28"/>
        </w:rPr>
        <w:t>421 250,0</w:t>
      </w:r>
      <w:r>
        <w:rPr>
          <w:sz w:val="28"/>
          <w:szCs w:val="28"/>
          <w:lang w:val="uk-UA"/>
        </w:rPr>
        <w:t xml:space="preserve"> грн; </w:t>
      </w:r>
    </w:p>
    <w:p w:rsidR="00143BBA" w:rsidRDefault="00143BBA" w:rsidP="004A11CF">
      <w:pPr>
        <w:ind w:firstLine="709"/>
        <w:jc w:val="both"/>
        <w:rPr>
          <w:sz w:val="28"/>
          <w:szCs w:val="28"/>
          <w:lang w:val="uk-UA"/>
        </w:rPr>
      </w:pPr>
      <w:r>
        <w:rPr>
          <w:sz w:val="28"/>
          <w:szCs w:val="28"/>
          <w:lang w:val="uk-UA"/>
        </w:rPr>
        <w:t>- пункт </w:t>
      </w:r>
      <w:r>
        <w:rPr>
          <w:sz w:val="28"/>
          <w:szCs w:val="28"/>
        </w:rPr>
        <w:t>3.3.1</w:t>
      </w:r>
      <w:r>
        <w:rPr>
          <w:sz w:val="28"/>
          <w:szCs w:val="28"/>
          <w:lang w:val="uk-UA"/>
        </w:rPr>
        <w:t>.</w:t>
      </w:r>
      <w:r>
        <w:rPr>
          <w:color w:val="C0504D"/>
          <w:sz w:val="28"/>
          <w:szCs w:val="28"/>
          <w:lang w:val="uk-UA"/>
        </w:rPr>
        <w:t> </w:t>
      </w:r>
      <w:r>
        <w:rPr>
          <w:sz w:val="28"/>
          <w:szCs w:val="28"/>
          <w:lang w:val="uk-UA"/>
        </w:rPr>
        <w:t>«Проведення тренінгів, майстер-класів з основ підприємницької діяльності» - 180 000,0 грн;</w:t>
      </w:r>
    </w:p>
    <w:p w:rsidR="00143BBA" w:rsidRDefault="00143BBA" w:rsidP="004A11CF">
      <w:pPr>
        <w:ind w:firstLine="709"/>
        <w:jc w:val="both"/>
        <w:rPr>
          <w:sz w:val="28"/>
          <w:szCs w:val="28"/>
          <w:lang w:val="uk-UA"/>
        </w:rPr>
      </w:pPr>
      <w:r>
        <w:rPr>
          <w:sz w:val="28"/>
          <w:szCs w:val="28"/>
          <w:lang w:val="uk-UA"/>
        </w:rPr>
        <w:t>- пункт 3.3.2. «Розвиток молодіжних бізнес-проєктів» - 120 000,0 грн.</w:t>
      </w:r>
      <w:r>
        <w:rPr>
          <w:b/>
          <w:sz w:val="28"/>
          <w:szCs w:val="28"/>
          <w:lang w:val="uk-UA"/>
        </w:rPr>
        <w:t xml:space="preserve">                               </w:t>
      </w:r>
    </w:p>
    <w:p w:rsidR="00143BBA" w:rsidRDefault="00143BBA" w:rsidP="004A11CF">
      <w:pPr>
        <w:tabs>
          <w:tab w:val="left" w:pos="222"/>
          <w:tab w:val="left" w:pos="709"/>
        </w:tabs>
        <w:jc w:val="both"/>
        <w:rPr>
          <w:sz w:val="28"/>
          <w:szCs w:val="28"/>
          <w:lang w:val="uk-UA"/>
        </w:rPr>
      </w:pPr>
      <w:r>
        <w:rPr>
          <w:sz w:val="28"/>
          <w:szCs w:val="28"/>
          <w:lang w:val="uk-UA"/>
        </w:rPr>
        <w:tab/>
      </w:r>
      <w:r>
        <w:rPr>
          <w:sz w:val="28"/>
          <w:szCs w:val="28"/>
          <w:lang w:val="uk-UA"/>
        </w:rPr>
        <w:tab/>
        <w:t>З метою забезпечення умов та підтримки розвитку підприємництва протягом І кварталу 2020 року реалізовувалися такі основні заходи Програми.</w:t>
      </w:r>
    </w:p>
    <w:p w:rsidR="00143BBA" w:rsidRDefault="00143BBA" w:rsidP="004A11CF">
      <w:pPr>
        <w:ind w:firstLine="720"/>
        <w:jc w:val="both"/>
        <w:rPr>
          <w:iCs/>
          <w:sz w:val="28"/>
          <w:szCs w:val="28"/>
          <w:lang w:val="uk-UA"/>
        </w:rPr>
      </w:pPr>
      <w:r>
        <w:rPr>
          <w:sz w:val="28"/>
          <w:szCs w:val="28"/>
          <w:lang w:val="uk-UA"/>
        </w:rPr>
        <w:t>Продовжувалась робота щодо подальшого удосконалення веб-сайту «Підприємництво та споживчий ринок міста Харкова», а також наповнення його</w:t>
      </w:r>
      <w:r>
        <w:rPr>
          <w:iCs/>
          <w:sz w:val="28"/>
          <w:szCs w:val="28"/>
          <w:lang w:val="uk-UA"/>
        </w:rPr>
        <w:t xml:space="preserve"> новими інформаційними масивами, корисними для підприємців міста.</w:t>
      </w:r>
    </w:p>
    <w:p w:rsidR="00143BBA" w:rsidRDefault="00143BBA" w:rsidP="004A11CF">
      <w:pPr>
        <w:pStyle w:val="NormalWeb"/>
        <w:shd w:val="clear" w:color="auto" w:fill="FFFFFF"/>
        <w:spacing w:before="0" w:beforeAutospacing="0" w:after="0" w:afterAutospacing="0"/>
        <w:ind w:firstLine="708"/>
        <w:jc w:val="both"/>
        <w:rPr>
          <w:color w:val="000000"/>
          <w:sz w:val="28"/>
          <w:szCs w:val="28"/>
          <w:lang w:val="uk-UA"/>
        </w:rPr>
      </w:pPr>
      <w:r>
        <w:rPr>
          <w:iCs/>
          <w:sz w:val="28"/>
          <w:szCs w:val="28"/>
          <w:lang w:val="uk-UA"/>
        </w:rPr>
        <w:t xml:space="preserve">На веб-сайті </w:t>
      </w:r>
      <w:r>
        <w:rPr>
          <w:sz w:val="28"/>
          <w:szCs w:val="28"/>
          <w:lang w:val="uk-UA"/>
        </w:rPr>
        <w:t>«Підприємництво та споживчий ринок міста Харкова» створено окремий інформаційний розділ для бізнесу під час карантину, який містить актуальну інформацію та системно оновлюється.</w:t>
      </w:r>
      <w:r>
        <w:rPr>
          <w:rFonts w:ascii="Roboto Light" w:hAnsi="Roboto Light"/>
          <w:color w:val="000000"/>
          <w:sz w:val="32"/>
          <w:szCs w:val="32"/>
          <w:lang w:val="uk-UA"/>
        </w:rPr>
        <w:t xml:space="preserve"> </w:t>
      </w:r>
      <w:r>
        <w:rPr>
          <w:color w:val="000000"/>
          <w:sz w:val="28"/>
          <w:szCs w:val="28"/>
          <w:lang w:val="uk-UA"/>
        </w:rPr>
        <w:t>Цей розділ  дозволяє підприємцям, перш за все, отримувати виключно офіційну інформацію, вже зібрану в єдиному місці.</w:t>
      </w:r>
      <w:r>
        <w:rPr>
          <w:color w:val="000000"/>
          <w:sz w:val="28"/>
          <w:szCs w:val="28"/>
        </w:rPr>
        <w:t> </w:t>
      </w:r>
    </w:p>
    <w:p w:rsidR="00143BBA" w:rsidRDefault="00143BBA" w:rsidP="004A11CF">
      <w:pPr>
        <w:pStyle w:val="NormalWeb"/>
        <w:shd w:val="clear" w:color="auto" w:fill="FFFFFF"/>
        <w:spacing w:before="0" w:beforeAutospacing="0" w:after="0" w:afterAutospacing="0"/>
        <w:ind w:firstLine="708"/>
        <w:jc w:val="both"/>
        <w:rPr>
          <w:color w:val="000000"/>
          <w:sz w:val="28"/>
          <w:szCs w:val="28"/>
          <w:lang w:val="uk-UA"/>
        </w:rPr>
      </w:pPr>
      <w:r>
        <w:rPr>
          <w:color w:val="000000"/>
          <w:sz w:val="28"/>
          <w:szCs w:val="28"/>
          <w:lang w:val="uk-UA"/>
        </w:rPr>
        <w:t xml:space="preserve">На сайті вже доступна інформація про діючі обмеження для МСБ з метою протидії поширенню захворювання </w:t>
      </w:r>
      <w:r>
        <w:rPr>
          <w:color w:val="000000"/>
          <w:sz w:val="28"/>
          <w:szCs w:val="28"/>
        </w:rPr>
        <w:t>COVID</w:t>
      </w:r>
      <w:r>
        <w:rPr>
          <w:color w:val="000000"/>
          <w:sz w:val="28"/>
          <w:szCs w:val="28"/>
          <w:lang w:val="uk-UA"/>
        </w:rPr>
        <w:t>-19, перелік заходів державної підтримки, відповіді на низку питань від бізнесу.</w:t>
      </w:r>
    </w:p>
    <w:p w:rsidR="00143BBA" w:rsidRDefault="00143BBA" w:rsidP="004A11CF">
      <w:pPr>
        <w:pStyle w:val="NormalWeb"/>
        <w:shd w:val="clear" w:color="auto" w:fill="FFFFFF"/>
        <w:spacing w:before="0" w:beforeAutospacing="0" w:after="0" w:afterAutospacing="0"/>
        <w:ind w:firstLine="708"/>
        <w:jc w:val="both"/>
        <w:rPr>
          <w:rFonts w:ascii="Roboto Light" w:hAnsi="Roboto Light"/>
          <w:color w:val="000000"/>
          <w:sz w:val="32"/>
          <w:szCs w:val="32"/>
          <w:lang w:val="uk-UA"/>
        </w:rPr>
      </w:pPr>
      <w:r>
        <w:rPr>
          <w:color w:val="000000"/>
          <w:sz w:val="28"/>
          <w:szCs w:val="28"/>
          <w:lang w:val="uk-UA"/>
        </w:rPr>
        <w:t>Ресурс продовжує наповнюватись корисними посиланнями, порадами фахівців та новинами для підприємців</w:t>
      </w:r>
      <w:r>
        <w:rPr>
          <w:rFonts w:ascii="Roboto Light" w:hAnsi="Roboto Light"/>
          <w:color w:val="000000"/>
          <w:sz w:val="32"/>
          <w:szCs w:val="32"/>
          <w:lang w:val="uk-UA"/>
        </w:rPr>
        <w:t>.</w:t>
      </w:r>
    </w:p>
    <w:p w:rsidR="00143BBA" w:rsidRDefault="00143BBA" w:rsidP="004A11CF">
      <w:pPr>
        <w:ind w:firstLine="708"/>
        <w:jc w:val="both"/>
        <w:rPr>
          <w:sz w:val="28"/>
          <w:szCs w:val="28"/>
          <w:lang w:val="uk-UA"/>
        </w:rPr>
      </w:pPr>
      <w:r>
        <w:rPr>
          <w:sz w:val="28"/>
          <w:szCs w:val="28"/>
          <w:lang w:val="uk-UA"/>
        </w:rPr>
        <w:t>Відповідно до пункту 2.1.3 «Створення електронного сервісу «Онлайн-консультант» Департаментом адміністративних послуг та споживчого ринку спільно з Молодіжною радою при Харківському міському голові проводиться робота по створенню електронного сервісу «Онлайн-консультант», який надаватиме професійну підтримку протягом двох хвилин, завдяки чат-боту, що відповідає на основі зібраних раніше питань, а також консультантів профільних міських, державних структур, якщо питання в базі будуть відсутні. Планується, що електронний сервіс запрацює в ІІ кварталі 2020 року.</w:t>
      </w:r>
    </w:p>
    <w:p w:rsidR="00143BBA" w:rsidRDefault="00143BBA" w:rsidP="004A11CF">
      <w:pPr>
        <w:tabs>
          <w:tab w:val="left" w:pos="72"/>
        </w:tabs>
        <w:jc w:val="both"/>
        <w:rPr>
          <w:sz w:val="28"/>
          <w:szCs w:val="28"/>
          <w:lang w:val="uk-UA"/>
        </w:rPr>
      </w:pPr>
      <w:r>
        <w:rPr>
          <w:color w:val="C0504D"/>
          <w:sz w:val="28"/>
          <w:szCs w:val="28"/>
          <w:shd w:val="clear" w:color="auto" w:fill="FFFFFF"/>
          <w:lang w:val="uk-UA"/>
        </w:rPr>
        <w:tab/>
      </w:r>
      <w:r>
        <w:rPr>
          <w:color w:val="C0504D"/>
          <w:sz w:val="28"/>
          <w:szCs w:val="28"/>
          <w:shd w:val="clear" w:color="auto" w:fill="FFFFFF"/>
          <w:lang w:val="uk-UA"/>
        </w:rPr>
        <w:tab/>
      </w:r>
      <w:r w:rsidRPr="001C1053">
        <w:rPr>
          <w:sz w:val="28"/>
          <w:szCs w:val="28"/>
          <w:shd w:val="clear" w:color="auto" w:fill="FFFFFF"/>
          <w:lang w:val="uk-UA"/>
        </w:rPr>
        <w:t>У</w:t>
      </w:r>
      <w:r w:rsidRPr="001C1053">
        <w:rPr>
          <w:sz w:val="28"/>
          <w:szCs w:val="28"/>
          <w:lang w:val="uk-UA"/>
        </w:rPr>
        <w:t xml:space="preserve"> </w:t>
      </w:r>
      <w:r>
        <w:rPr>
          <w:sz w:val="28"/>
          <w:szCs w:val="28"/>
          <w:lang w:val="uk-UA"/>
        </w:rPr>
        <w:t>результаті реалізації заходів Програми, направлених на модернізацію та розширення функціональних можливостей</w:t>
      </w:r>
      <w:r>
        <w:rPr>
          <w:color w:val="C0504D"/>
          <w:sz w:val="28"/>
          <w:szCs w:val="28"/>
          <w:lang w:val="uk-UA"/>
        </w:rPr>
        <w:t xml:space="preserve">  </w:t>
      </w:r>
      <w:r>
        <w:rPr>
          <w:sz w:val="28"/>
          <w:szCs w:val="28"/>
          <w:lang w:val="uk-UA"/>
        </w:rPr>
        <w:t>веб-сайту «Підприємництво та споживчий ринок міста Харкова», забезпечується повна і якісна інформаційна підтримка підприємцям у відкритті нового і підвищенні ефективності розвитку діючого бізнесу</w:t>
      </w:r>
      <w:r>
        <w:rPr>
          <w:color w:val="C0504D"/>
          <w:sz w:val="28"/>
          <w:szCs w:val="28"/>
          <w:lang w:val="uk-UA"/>
        </w:rPr>
        <w:t xml:space="preserve">. </w:t>
      </w:r>
      <w:r>
        <w:rPr>
          <w:sz w:val="28"/>
          <w:szCs w:val="28"/>
          <w:lang w:val="uk-UA"/>
        </w:rPr>
        <w:t>Число відвідувачів веб-сайту постійно збільшується, що свідчить про затребуваність та популярність сайту. За І квартал 2020 року було зафіксовано 23230 відвідувачів веб-сайту, що на 20,0% більше в порівнянні з аналогічним періодом 2019 року.</w:t>
      </w:r>
    </w:p>
    <w:p w:rsidR="00143BBA" w:rsidRDefault="00143BBA" w:rsidP="004A11CF">
      <w:pPr>
        <w:tabs>
          <w:tab w:val="left" w:pos="72"/>
        </w:tabs>
        <w:jc w:val="both"/>
        <w:rPr>
          <w:sz w:val="28"/>
          <w:szCs w:val="28"/>
          <w:lang w:val="uk-UA"/>
        </w:rPr>
      </w:pPr>
      <w:r>
        <w:rPr>
          <w:color w:val="C0504D"/>
          <w:sz w:val="28"/>
          <w:szCs w:val="28"/>
          <w:lang w:val="uk-UA"/>
        </w:rPr>
        <w:tab/>
      </w:r>
      <w:r>
        <w:rPr>
          <w:color w:val="C0504D"/>
          <w:sz w:val="28"/>
          <w:szCs w:val="28"/>
          <w:lang w:val="uk-UA"/>
        </w:rPr>
        <w:tab/>
      </w:r>
      <w:r>
        <w:rPr>
          <w:sz w:val="28"/>
          <w:szCs w:val="28"/>
          <w:lang w:val="uk-UA"/>
        </w:rPr>
        <w:t>Відповідно до пункту 1.1.1 Програми «Відстеження результативності регуляторних актів, які регулюють діяльність суб’єктів господарювання, здійснення необхідних заходів щодо анулювання неефективних нормативно-правових актів» Департаментом адміністративних послуг та споживчого ринку розроблено План-графік виконання заходів з відстеження результативності регуляторних актів виконавчими органами Харківської міської ради. За  І квартал 2020 року опубліковано в офіційних засобах масової інформації 6 проєктів регуляторних актів та аналізів регуляторного впливу до них. Оприлюднені 2 звіти з відстеження результативності регуляторних актів.</w:t>
      </w:r>
    </w:p>
    <w:p w:rsidR="00143BBA" w:rsidRDefault="00143BBA" w:rsidP="004A11CF">
      <w:pPr>
        <w:tabs>
          <w:tab w:val="left" w:pos="709"/>
          <w:tab w:val="left" w:pos="851"/>
        </w:tabs>
        <w:ind w:firstLine="142"/>
        <w:jc w:val="both"/>
        <w:rPr>
          <w:sz w:val="28"/>
          <w:szCs w:val="28"/>
          <w:lang w:val="uk-UA"/>
        </w:rPr>
      </w:pPr>
      <w:r>
        <w:rPr>
          <w:color w:val="C0504D"/>
          <w:sz w:val="28"/>
          <w:szCs w:val="28"/>
          <w:lang w:val="uk-UA"/>
        </w:rPr>
        <w:tab/>
      </w:r>
      <w:r>
        <w:rPr>
          <w:sz w:val="28"/>
          <w:szCs w:val="28"/>
          <w:lang w:val="uk-UA"/>
        </w:rPr>
        <w:t>На виконання пункту 2.1.4 Програми «Проведення роботи щодо оновлення кредитних рейтингів м. Харкова» з метою оновлення кредитних рейтингів м. Харкова та його інвестиційної привабливості за шкалою Рейтингового агентства ТОВ «ІВІ-Рейтинг»  підготовлена інформація щодо розвитку підприємництва за 2019 рік.</w:t>
      </w:r>
    </w:p>
    <w:p w:rsidR="00143BBA" w:rsidRDefault="00143BBA" w:rsidP="004A11CF">
      <w:pPr>
        <w:tabs>
          <w:tab w:val="left" w:pos="709"/>
          <w:tab w:val="left" w:pos="851"/>
        </w:tabs>
        <w:ind w:firstLine="142"/>
        <w:jc w:val="both"/>
        <w:rPr>
          <w:sz w:val="28"/>
          <w:szCs w:val="28"/>
          <w:lang w:val="uk-UA"/>
        </w:rPr>
      </w:pPr>
      <w:r>
        <w:rPr>
          <w:color w:val="C0504D"/>
          <w:sz w:val="28"/>
          <w:szCs w:val="28"/>
          <w:lang w:val="uk-UA"/>
        </w:rPr>
        <w:tab/>
      </w:r>
      <w:r>
        <w:rPr>
          <w:sz w:val="28"/>
          <w:szCs w:val="28"/>
          <w:lang w:val="uk-UA"/>
        </w:rPr>
        <w:t>На забезпечення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 та Харківського міського центру зайнятості (пункти 3.1.4-3.1.6 Програми).</w:t>
      </w:r>
    </w:p>
    <w:p w:rsidR="00143BBA" w:rsidRDefault="00143BBA" w:rsidP="004A11CF">
      <w:pPr>
        <w:ind w:firstLine="709"/>
        <w:jc w:val="both"/>
        <w:rPr>
          <w:sz w:val="28"/>
          <w:szCs w:val="28"/>
          <w:lang w:val="uk-UA"/>
        </w:rPr>
      </w:pPr>
      <w:r>
        <w:rPr>
          <w:sz w:val="28"/>
          <w:szCs w:val="28"/>
          <w:lang w:val="uk-UA"/>
        </w:rPr>
        <w:t xml:space="preserve">Протягом І кварталу 2020 року підвищено кваліфікацію 14 безробітним за програмою «Стратегічне планування і розвиток приватного підприємства», з них 6 осіб у віці до 35 років. </w:t>
      </w:r>
    </w:p>
    <w:p w:rsidR="00143BBA" w:rsidRDefault="00143BBA" w:rsidP="004A11CF">
      <w:pPr>
        <w:ind w:firstLine="709"/>
        <w:jc w:val="both"/>
        <w:rPr>
          <w:sz w:val="28"/>
          <w:szCs w:val="28"/>
          <w:lang w:val="uk-UA"/>
        </w:rPr>
      </w:pPr>
      <w:r>
        <w:rPr>
          <w:sz w:val="28"/>
          <w:szCs w:val="28"/>
          <w:lang w:val="uk-UA"/>
        </w:rPr>
        <w:t>Для організації підприємницької  діяльності  одноразову  допомогу  по </w:t>
      </w:r>
      <w:r>
        <w:rPr>
          <w:sz w:val="28"/>
          <w:szCs w:val="28"/>
          <w:lang w:val="uk-UA"/>
        </w:rPr>
        <w:br/>
        <w:t xml:space="preserve">безробіттю отримали 5 осіб, з них 1 особа у віці до 35 років. </w:t>
      </w:r>
    </w:p>
    <w:p w:rsidR="00143BBA" w:rsidRDefault="00143BBA" w:rsidP="004A11CF">
      <w:pPr>
        <w:ind w:firstLine="709"/>
        <w:jc w:val="both"/>
        <w:rPr>
          <w:sz w:val="28"/>
          <w:szCs w:val="28"/>
          <w:lang w:val="uk-UA"/>
        </w:rPr>
      </w:pPr>
      <w:r>
        <w:rPr>
          <w:sz w:val="28"/>
          <w:szCs w:val="28"/>
          <w:lang w:val="uk-UA"/>
        </w:rPr>
        <w:t>У Консалтинговому центрі Харківського міського центру зайнятості надано консультаційних послуг щодо створення та ведення бізнесу 741 особі, проведено 24 групових заходів, в яких взяли участь 235 осіб.</w:t>
      </w:r>
    </w:p>
    <w:p w:rsidR="00143BBA" w:rsidRDefault="00143BBA" w:rsidP="004A11CF">
      <w:pPr>
        <w:ind w:firstLine="709"/>
        <w:jc w:val="both"/>
        <w:rPr>
          <w:sz w:val="28"/>
          <w:szCs w:val="28"/>
          <w:lang w:val="uk-UA"/>
        </w:rPr>
      </w:pPr>
      <w:r>
        <w:rPr>
          <w:sz w:val="28"/>
          <w:szCs w:val="28"/>
          <w:lang w:val="uk-UA"/>
        </w:rPr>
        <w:t xml:space="preserve">На покращення підприємницького середовища в місті,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w:t>
      </w:r>
      <w:r>
        <w:rPr>
          <w:sz w:val="28"/>
          <w:szCs w:val="28"/>
          <w:lang w:val="uk-UA"/>
        </w:rPr>
        <w:br/>
        <w:t>м. Харкова та його територіальних підрозділів (пункт 4.1.2-4.1.6 Програми).</w:t>
      </w:r>
    </w:p>
    <w:p w:rsidR="00143BBA" w:rsidRDefault="00143BBA" w:rsidP="004A11CF">
      <w:pPr>
        <w:ind w:firstLine="708"/>
        <w:jc w:val="both"/>
        <w:rPr>
          <w:sz w:val="28"/>
          <w:szCs w:val="28"/>
          <w:lang w:val="uk-UA"/>
        </w:rPr>
      </w:pPr>
      <w:r>
        <w:rPr>
          <w:sz w:val="28"/>
          <w:szCs w:val="28"/>
          <w:lang w:val="uk-UA"/>
        </w:rPr>
        <w:t>Всього за І квартал 2020 року до Центру надання адміністративних послуг міста Харкова та його територіальних підрозділів з питань отримання документів дозвільного характеру зафіксовано 20022 звернення суб’єктів підприємницької діяльності. Видано 4966 документів дозвільного характеру, що на 17,4% більше ніж кількість виданих документів дозвільного характеру за І квартал 2019 року. Кількість зареєстрованих декларацій в І кварталі    2020 року склала 710 од., що становить 98,2% до зареєстрованих декларацій в</w:t>
      </w:r>
      <w:r>
        <w:rPr>
          <w:sz w:val="28"/>
          <w:szCs w:val="28"/>
          <w:lang w:val="uk-UA"/>
        </w:rPr>
        <w:br/>
        <w:t>І кварталі 2019 року.</w:t>
      </w:r>
    </w:p>
    <w:p w:rsidR="00143BBA" w:rsidRDefault="00143BBA" w:rsidP="004A11CF">
      <w:pPr>
        <w:ind w:firstLine="708"/>
        <w:jc w:val="both"/>
        <w:rPr>
          <w:sz w:val="28"/>
          <w:szCs w:val="28"/>
          <w:lang w:val="uk-UA"/>
        </w:rPr>
      </w:pPr>
      <w:r>
        <w:rPr>
          <w:sz w:val="28"/>
          <w:szCs w:val="28"/>
          <w:lang w:val="uk-UA"/>
        </w:rPr>
        <w:t xml:space="preserve">Крім того, до Центру зафіксовано 23964 звернення з питань реєстрації бізнесу, що становить 6,9% від загальної кількості звернень до ЦНАП                      м. Харкова та його територіальних підрозділів. З них 20395 звернень від фізичних осіб - підприємців, 2573 звернення від юридичних осіб, </w:t>
      </w:r>
      <w:r>
        <w:rPr>
          <w:sz w:val="28"/>
          <w:szCs w:val="28"/>
          <w:lang w:val="uk-UA"/>
        </w:rPr>
        <w:br/>
        <w:t>996 звернень щодо отримання витягу з Єдиного державного реєстру юридичних осіб, фізичних осіб-підприємців та громадських формувань, а також 27 звернень стосовно реєстраційних дій громадських формувань.</w:t>
      </w:r>
    </w:p>
    <w:p w:rsidR="00143BBA" w:rsidRDefault="00143BBA" w:rsidP="004A11CF">
      <w:pPr>
        <w:ind w:firstLine="567"/>
        <w:jc w:val="both"/>
        <w:rPr>
          <w:sz w:val="28"/>
          <w:szCs w:val="28"/>
          <w:lang w:val="uk-UA"/>
        </w:rPr>
      </w:pPr>
      <w:r>
        <w:rPr>
          <w:sz w:val="28"/>
          <w:szCs w:val="28"/>
          <w:lang w:val="uk-UA"/>
        </w:rPr>
        <w:t xml:space="preserve">Найбільш питому вагу із загальної кількості звернень в сфері реєстрації бізнесу займають звернення до Регіонального центру послуг – 6783 (28,3%), з них 81,5% </w:t>
      </w:r>
      <w:r>
        <w:rPr>
          <w:rFonts w:ascii="Cambria Math" w:hAnsi="Cambria Math" w:cs="Cambria Math"/>
          <w:sz w:val="28"/>
          <w:szCs w:val="28"/>
          <w:lang w:val="uk-UA"/>
        </w:rPr>
        <w:t>‒</w:t>
      </w:r>
      <w:r>
        <w:rPr>
          <w:sz w:val="28"/>
          <w:szCs w:val="28"/>
          <w:lang w:val="uk-UA"/>
        </w:rPr>
        <w:t xml:space="preserve"> це звернення фізичних осіб </w:t>
      </w:r>
      <w:r>
        <w:rPr>
          <w:rFonts w:ascii="Cambria Math" w:hAnsi="Cambria Math" w:cs="Cambria Math"/>
          <w:sz w:val="28"/>
          <w:szCs w:val="28"/>
          <w:lang w:val="uk-UA"/>
        </w:rPr>
        <w:t>‒</w:t>
      </w:r>
      <w:r>
        <w:rPr>
          <w:sz w:val="28"/>
          <w:szCs w:val="28"/>
          <w:lang w:val="uk-UA"/>
        </w:rPr>
        <w:t xml:space="preserve"> підприємців, 14,5% − звернення юридичних осіб, 3,9% </w:t>
      </w:r>
      <w:r>
        <w:rPr>
          <w:rFonts w:ascii="Cambria Math" w:hAnsi="Cambria Math" w:cs="Cambria Math"/>
          <w:sz w:val="28"/>
          <w:szCs w:val="28"/>
          <w:lang w:val="uk-UA"/>
        </w:rPr>
        <w:t>‒</w:t>
      </w:r>
      <w:r>
        <w:rPr>
          <w:sz w:val="28"/>
          <w:szCs w:val="28"/>
          <w:lang w:val="uk-UA"/>
        </w:rPr>
        <w:t xml:space="preserve"> звернення щодо видачі витягу з Єдиного державного реєстру юридичних осіб, фізичних осіб-підприємців та громадських формувань.</w:t>
      </w:r>
    </w:p>
    <w:p w:rsidR="00143BBA" w:rsidRDefault="00143BBA" w:rsidP="004A11CF">
      <w:pPr>
        <w:ind w:left="-284" w:firstLine="851"/>
        <w:jc w:val="both"/>
        <w:rPr>
          <w:sz w:val="28"/>
          <w:szCs w:val="28"/>
          <w:lang w:val="uk-UA"/>
        </w:rPr>
      </w:pPr>
      <w:r>
        <w:rPr>
          <w:sz w:val="28"/>
          <w:szCs w:val="28"/>
          <w:lang w:val="uk-UA"/>
        </w:rPr>
        <w:t>За напрямками звернень до Регіонального центру послуг варто виділити:</w:t>
      </w:r>
    </w:p>
    <w:p w:rsidR="00143BBA" w:rsidRDefault="00143BBA" w:rsidP="00EB57BD">
      <w:pPr>
        <w:pStyle w:val="2"/>
        <w:numPr>
          <w:ilvl w:val="0"/>
          <w:numId w:val="5"/>
        </w:numPr>
        <w:spacing w:after="200" w:line="276" w:lineRule="auto"/>
        <w:jc w:val="both"/>
        <w:rPr>
          <w:sz w:val="28"/>
          <w:szCs w:val="28"/>
          <w:lang w:val="uk-UA"/>
        </w:rPr>
      </w:pPr>
      <w:r>
        <w:rPr>
          <w:sz w:val="28"/>
          <w:szCs w:val="28"/>
          <w:lang w:val="uk-UA"/>
        </w:rPr>
        <w:t>з питань державної реєстрації фізичних осіб підприємцями –              21122 звернення (31,3%);</w:t>
      </w:r>
    </w:p>
    <w:p w:rsidR="00143BBA" w:rsidRDefault="00143BBA" w:rsidP="00EB57BD">
      <w:pPr>
        <w:pStyle w:val="2"/>
        <w:numPr>
          <w:ilvl w:val="0"/>
          <w:numId w:val="5"/>
        </w:numPr>
        <w:spacing w:after="200" w:line="276" w:lineRule="auto"/>
        <w:jc w:val="both"/>
        <w:rPr>
          <w:sz w:val="28"/>
          <w:szCs w:val="28"/>
          <w:lang w:val="uk-UA"/>
        </w:rPr>
      </w:pPr>
      <w:r>
        <w:rPr>
          <w:sz w:val="28"/>
          <w:szCs w:val="28"/>
          <w:lang w:val="uk-UA"/>
        </w:rPr>
        <w:t xml:space="preserve">з питань реєстрації припинення підприємницької діяльності за власним рішенням – 1593 звернення (23,5%); </w:t>
      </w:r>
    </w:p>
    <w:p w:rsidR="00143BBA" w:rsidRDefault="00143BBA" w:rsidP="00EB57BD">
      <w:pPr>
        <w:pStyle w:val="2"/>
        <w:numPr>
          <w:ilvl w:val="0"/>
          <w:numId w:val="5"/>
        </w:numPr>
        <w:spacing w:after="200" w:line="276" w:lineRule="auto"/>
        <w:jc w:val="both"/>
        <w:rPr>
          <w:sz w:val="28"/>
          <w:szCs w:val="28"/>
          <w:lang w:val="uk-UA"/>
        </w:rPr>
      </w:pPr>
      <w:r>
        <w:rPr>
          <w:sz w:val="28"/>
          <w:szCs w:val="28"/>
          <w:lang w:val="uk-UA"/>
        </w:rPr>
        <w:t>з питань державної реєстрації змін до відомостей про юридичну особу – 652 звернення (9,6%);</w:t>
      </w:r>
    </w:p>
    <w:p w:rsidR="00143BBA" w:rsidRDefault="00143BBA" w:rsidP="00EB57BD">
      <w:pPr>
        <w:pStyle w:val="2"/>
        <w:numPr>
          <w:ilvl w:val="0"/>
          <w:numId w:val="5"/>
        </w:numPr>
        <w:spacing w:after="200" w:line="276" w:lineRule="auto"/>
        <w:jc w:val="both"/>
        <w:rPr>
          <w:sz w:val="28"/>
          <w:szCs w:val="28"/>
          <w:lang w:val="uk-UA"/>
        </w:rPr>
      </w:pPr>
      <w:r>
        <w:rPr>
          <w:sz w:val="28"/>
          <w:szCs w:val="28"/>
          <w:lang w:val="uk-UA"/>
        </w:rPr>
        <w:t>з питань реєстрації змін до відомостей про фізичну особу – підприємця – 1791 звернення (26,4%);</w:t>
      </w:r>
    </w:p>
    <w:p w:rsidR="00143BBA" w:rsidRDefault="00143BBA" w:rsidP="00EB57BD">
      <w:pPr>
        <w:pStyle w:val="2"/>
        <w:numPr>
          <w:ilvl w:val="0"/>
          <w:numId w:val="5"/>
        </w:numPr>
        <w:spacing w:after="200" w:line="276" w:lineRule="auto"/>
        <w:jc w:val="both"/>
        <w:rPr>
          <w:sz w:val="28"/>
          <w:szCs w:val="28"/>
          <w:lang w:val="uk-UA"/>
        </w:rPr>
      </w:pPr>
      <w:r>
        <w:rPr>
          <w:sz w:val="28"/>
          <w:szCs w:val="28"/>
          <w:lang w:val="uk-UA"/>
        </w:rPr>
        <w:t>з питань видачі витягу – 267 звернень (3,9%);</w:t>
      </w:r>
    </w:p>
    <w:p w:rsidR="00143BBA" w:rsidRDefault="00143BBA" w:rsidP="00EB57BD">
      <w:pPr>
        <w:pStyle w:val="2"/>
        <w:numPr>
          <w:ilvl w:val="0"/>
          <w:numId w:val="5"/>
        </w:numPr>
        <w:spacing w:line="276" w:lineRule="auto"/>
        <w:jc w:val="both"/>
        <w:rPr>
          <w:sz w:val="28"/>
          <w:szCs w:val="28"/>
          <w:lang w:val="uk-UA"/>
        </w:rPr>
      </w:pPr>
      <w:r>
        <w:rPr>
          <w:sz w:val="28"/>
          <w:szCs w:val="28"/>
          <w:lang w:val="uk-UA"/>
        </w:rPr>
        <w:t>з питань державної реєстрації юридичної особи (крім громадських формувань) – 206 звернень (3,0%).</w:t>
      </w:r>
    </w:p>
    <w:p w:rsidR="00143BBA" w:rsidRDefault="00143BBA" w:rsidP="004A11CF">
      <w:pPr>
        <w:shd w:val="clear" w:color="auto" w:fill="FFFFFF"/>
        <w:ind w:firstLine="567"/>
        <w:jc w:val="both"/>
        <w:rPr>
          <w:lang w:val="uk-UA"/>
        </w:rPr>
      </w:pPr>
      <w:r>
        <w:rPr>
          <w:sz w:val="28"/>
          <w:szCs w:val="28"/>
          <w:lang w:val="uk-UA"/>
        </w:rPr>
        <w:t xml:space="preserve">Також, підприємці в Регіональному центрі послуг активно користуються послугами Головного управління податкової служби України в Харківській області. У І кварталі 2020 році до органів податкової служби  в Регіональному центрі послуг було зафіксовано 12993 звернення стосовно податкових питань та з питань подання податкової звітності. </w:t>
      </w:r>
    </w:p>
    <w:p w:rsidR="00143BBA" w:rsidRDefault="00143BBA" w:rsidP="004A11CF">
      <w:pPr>
        <w:ind w:firstLine="709"/>
        <w:jc w:val="both"/>
        <w:rPr>
          <w:sz w:val="28"/>
          <w:szCs w:val="28"/>
          <w:lang w:val="uk-UA"/>
        </w:rPr>
      </w:pPr>
      <w:r>
        <w:rPr>
          <w:sz w:val="28"/>
          <w:szCs w:val="28"/>
          <w:lang w:val="uk-UA"/>
        </w:rPr>
        <w:t>Реалізація заходів Програми та успішна політика, що проводиться міською владою щодо підтримки бізнесу, сприяють ефективному розвитку підприємницького сектора міста.</w:t>
      </w:r>
    </w:p>
    <w:p w:rsidR="00143BBA" w:rsidRDefault="00143BBA" w:rsidP="004A11CF">
      <w:pPr>
        <w:ind w:firstLine="709"/>
        <w:jc w:val="both"/>
        <w:rPr>
          <w:sz w:val="28"/>
          <w:szCs w:val="28"/>
          <w:lang w:val="uk-UA"/>
        </w:rPr>
      </w:pPr>
      <w:r>
        <w:rPr>
          <w:sz w:val="28"/>
          <w:szCs w:val="28"/>
          <w:lang w:val="uk-UA"/>
        </w:rPr>
        <w:t>Статистичні показники  свідчать про позитивну динаміку в розвитку підприємництва в місті Харкові.</w:t>
      </w:r>
    </w:p>
    <w:p w:rsidR="00143BBA" w:rsidRDefault="00143BBA" w:rsidP="004A11CF">
      <w:pPr>
        <w:ind w:firstLine="709"/>
        <w:jc w:val="both"/>
        <w:rPr>
          <w:sz w:val="28"/>
          <w:szCs w:val="28"/>
          <w:lang w:val="uk-UA"/>
        </w:rPr>
      </w:pPr>
      <w:r>
        <w:rPr>
          <w:sz w:val="28"/>
          <w:szCs w:val="28"/>
          <w:lang w:val="uk-UA"/>
        </w:rPr>
        <w:t>За інформацією Головного управління статистики в Харківській області у 2018 році (</w:t>
      </w:r>
      <w:r>
        <w:rPr>
          <w:b/>
          <w:i/>
          <w:lang w:val="uk-UA"/>
        </w:rPr>
        <w:t xml:space="preserve">статистична звітність річна, попередня інформація за 2019 рік буде опублікована в червні 2020 року ) </w:t>
      </w:r>
      <w:r>
        <w:rPr>
          <w:sz w:val="28"/>
          <w:szCs w:val="28"/>
          <w:lang w:val="uk-UA"/>
        </w:rPr>
        <w:t>в місті здійснювали діяльність 18323 великих, малих і середніх підприємств, що становить 77,0% від загальної кількості підприємств області і на 1007 підприємств або 5,8% більше в порівнянні з 2017 роком.</w:t>
      </w:r>
    </w:p>
    <w:p w:rsidR="00143BBA" w:rsidRDefault="00143BBA" w:rsidP="004A11CF">
      <w:pPr>
        <w:ind w:firstLine="709"/>
        <w:jc w:val="both"/>
        <w:rPr>
          <w:sz w:val="28"/>
          <w:szCs w:val="28"/>
          <w:lang w:val="uk-UA"/>
        </w:rPr>
      </w:pPr>
      <w:r>
        <w:rPr>
          <w:sz w:val="28"/>
          <w:szCs w:val="28"/>
          <w:lang w:val="uk-UA"/>
        </w:rPr>
        <w:t xml:space="preserve">Із загальної кількості зазначених підприємств 99,9% становили суб'єкти малого та середнього підприємництва (МСП). З них – 822 суб'єкти середнього підприємництва (4,5% від загальної чисельності суб'єктів підприємництва), 17490 </w:t>
      </w:r>
      <w:r>
        <w:rPr>
          <w:rFonts w:ascii="Cambria Math" w:hAnsi="Cambria Math" w:cs="Cambria Math"/>
          <w:sz w:val="28"/>
          <w:szCs w:val="28"/>
          <w:lang w:val="uk-UA"/>
        </w:rPr>
        <w:t>‒</w:t>
      </w:r>
      <w:r>
        <w:rPr>
          <w:sz w:val="28"/>
          <w:szCs w:val="28"/>
          <w:lang w:val="uk-UA"/>
        </w:rPr>
        <w:t xml:space="preserve"> суб'єкти малого підприємництва (95,4% від загальної чисельності суб'єктів підприємництва).</w:t>
      </w:r>
    </w:p>
    <w:p w:rsidR="00143BBA" w:rsidRDefault="00143BBA" w:rsidP="004A11CF">
      <w:pPr>
        <w:ind w:firstLine="709"/>
        <w:jc w:val="both"/>
        <w:rPr>
          <w:sz w:val="28"/>
          <w:szCs w:val="28"/>
          <w:lang w:val="uk-UA"/>
        </w:rPr>
      </w:pPr>
      <w:r>
        <w:rPr>
          <w:sz w:val="28"/>
          <w:szCs w:val="28"/>
          <w:lang w:val="uk-UA"/>
        </w:rPr>
        <w:t>У розрахунку на 10 тис. осіб населення кількість малих підприємств становила 121 одиницю.</w:t>
      </w:r>
    </w:p>
    <w:p w:rsidR="00143BBA" w:rsidRDefault="00143BBA" w:rsidP="004A11CF">
      <w:pPr>
        <w:ind w:firstLine="709"/>
        <w:jc w:val="both"/>
        <w:rPr>
          <w:sz w:val="28"/>
          <w:szCs w:val="28"/>
          <w:lang w:val="uk-UA"/>
        </w:rPr>
      </w:pPr>
      <w:r>
        <w:rPr>
          <w:sz w:val="28"/>
          <w:szCs w:val="28"/>
          <w:lang w:val="uk-UA"/>
        </w:rPr>
        <w:t xml:space="preserve">Кількість зайнятих працівників на підприємствах міста Харкова становила </w:t>
      </w:r>
      <w:r>
        <w:rPr>
          <w:rFonts w:ascii="Cambria Math" w:hAnsi="Cambria Math" w:cs="Cambria Math"/>
          <w:sz w:val="28"/>
          <w:szCs w:val="28"/>
          <w:lang w:val="uk-UA"/>
        </w:rPr>
        <w:t>‒</w:t>
      </w:r>
      <w:r>
        <w:rPr>
          <w:sz w:val="28"/>
          <w:szCs w:val="28"/>
          <w:lang w:val="uk-UA"/>
        </w:rPr>
        <w:t xml:space="preserve"> 274319 осіб, що на 14219 осіб більше, ніж у 2017 році.</w:t>
      </w:r>
    </w:p>
    <w:p w:rsidR="00143BBA" w:rsidRDefault="00143BBA" w:rsidP="004A11CF">
      <w:pPr>
        <w:ind w:firstLine="709"/>
        <w:jc w:val="both"/>
        <w:rPr>
          <w:sz w:val="28"/>
          <w:szCs w:val="28"/>
          <w:lang w:val="uk-UA"/>
        </w:rPr>
      </w:pPr>
      <w:r>
        <w:rPr>
          <w:sz w:val="28"/>
          <w:szCs w:val="28"/>
          <w:lang w:val="uk-UA"/>
        </w:rPr>
        <w:t>Підприємствами великого, малого та середнього бізнесу реалізовано продукції (товарів, послуг) на 262548,5 млн грн, що на 17,6% більше в порівнянні з 2017 роком.</w:t>
      </w:r>
    </w:p>
    <w:p w:rsidR="00143BBA" w:rsidRDefault="00143BBA" w:rsidP="004A11CF">
      <w:pPr>
        <w:pStyle w:val="NormalWeb"/>
        <w:tabs>
          <w:tab w:val="left" w:pos="709"/>
        </w:tabs>
        <w:spacing w:before="0" w:beforeAutospacing="0" w:after="0" w:afterAutospacing="0"/>
        <w:jc w:val="both"/>
        <w:rPr>
          <w:sz w:val="28"/>
          <w:szCs w:val="28"/>
          <w:lang w:val="uk-UA"/>
        </w:rPr>
      </w:pPr>
      <w:r>
        <w:rPr>
          <w:sz w:val="28"/>
          <w:szCs w:val="28"/>
          <w:lang w:val="uk-UA"/>
        </w:rPr>
        <w:tab/>
        <w:t xml:space="preserve">За даними Головного управління ДПС у Харківській області станом на 01.01.2020 на обліку в територіальних органах ДПС м. Харкова значилось 113047 фізичних осіб-підприємців ( в 2018 році значилось – 109746 фізичних осіб підприємців). </w:t>
      </w:r>
    </w:p>
    <w:p w:rsidR="00143BBA" w:rsidRDefault="00143BBA" w:rsidP="004A11CF">
      <w:pPr>
        <w:jc w:val="both"/>
        <w:rPr>
          <w:rFonts w:ascii="Arial" w:hAnsi="Arial" w:cs="Arial"/>
          <w:sz w:val="19"/>
          <w:szCs w:val="19"/>
          <w:lang w:val="uk-UA"/>
        </w:rPr>
      </w:pPr>
      <w:r>
        <w:rPr>
          <w:sz w:val="28"/>
          <w:szCs w:val="28"/>
          <w:lang w:val="uk-UA"/>
        </w:rPr>
        <w:tab/>
        <w:t xml:space="preserve">Фізичними-особами підприємцями у 2018 році реалізовано продукції (товарів, послуг) на </w:t>
      </w:r>
      <w:r>
        <w:rPr>
          <w:sz w:val="28"/>
          <w:szCs w:val="28"/>
        </w:rPr>
        <w:t>535</w:t>
      </w:r>
      <w:r>
        <w:rPr>
          <w:sz w:val="28"/>
          <w:szCs w:val="28"/>
          <w:lang w:val="uk-UA"/>
        </w:rPr>
        <w:t>50</w:t>
      </w:r>
      <w:r>
        <w:rPr>
          <w:sz w:val="28"/>
          <w:szCs w:val="28"/>
        </w:rPr>
        <w:t>,0</w:t>
      </w:r>
      <w:r>
        <w:rPr>
          <w:sz w:val="28"/>
          <w:szCs w:val="28"/>
          <w:lang w:val="uk-UA"/>
        </w:rPr>
        <w:t xml:space="preserve"> млн грн.</w:t>
      </w:r>
    </w:p>
    <w:p w:rsidR="00143BBA" w:rsidRDefault="00143BBA" w:rsidP="004A11CF">
      <w:pPr>
        <w:ind w:firstLine="709"/>
        <w:jc w:val="both"/>
        <w:rPr>
          <w:sz w:val="28"/>
          <w:szCs w:val="28"/>
          <w:lang w:val="uk-UA"/>
        </w:rPr>
      </w:pPr>
      <w:r>
        <w:rPr>
          <w:sz w:val="28"/>
          <w:szCs w:val="28"/>
          <w:lang w:val="uk-UA"/>
        </w:rPr>
        <w:t>За видами економічної діяльності найбільша кількість підприємств малого та середнього бізнесу зосереджена у сферах  оптової та роздрібної торгівлі, послуг та промисловості.</w:t>
      </w:r>
    </w:p>
    <w:p w:rsidR="00143BBA" w:rsidRDefault="00143BBA" w:rsidP="004A11CF">
      <w:pPr>
        <w:rPr>
          <w:lang w:val="uk-UA"/>
        </w:rPr>
      </w:pPr>
    </w:p>
    <w:p w:rsidR="00143BBA" w:rsidRDefault="00143BBA" w:rsidP="008D7D94">
      <w:pPr>
        <w:jc w:val="both"/>
        <w:rPr>
          <w:b/>
          <w:sz w:val="28"/>
          <w:szCs w:val="28"/>
          <w:lang w:val="uk-UA"/>
        </w:rPr>
      </w:pPr>
    </w:p>
    <w:p w:rsidR="00143BBA" w:rsidRDefault="00143BBA" w:rsidP="008D7D94">
      <w:pPr>
        <w:jc w:val="both"/>
        <w:rPr>
          <w:b/>
          <w:sz w:val="28"/>
          <w:szCs w:val="28"/>
          <w:lang w:val="uk-UA"/>
        </w:rPr>
      </w:pPr>
      <w:r w:rsidRPr="001704C2">
        <w:rPr>
          <w:b/>
          <w:sz w:val="28"/>
          <w:szCs w:val="28"/>
          <w:lang w:val="uk-UA"/>
        </w:rPr>
        <w:t>Розділ II</w:t>
      </w:r>
      <w:r>
        <w:rPr>
          <w:b/>
          <w:sz w:val="28"/>
          <w:szCs w:val="28"/>
          <w:lang w:val="en-US"/>
        </w:rPr>
        <w:t>I</w:t>
      </w:r>
      <w:r w:rsidRPr="001704C2">
        <w:rPr>
          <w:b/>
          <w:sz w:val="28"/>
          <w:szCs w:val="28"/>
          <w:lang w:val="uk-UA"/>
        </w:rPr>
        <w:t xml:space="preserve"> «Промисловість»</w:t>
      </w:r>
      <w:r>
        <w:rPr>
          <w:b/>
          <w:sz w:val="28"/>
          <w:szCs w:val="28"/>
          <w:lang w:val="uk-UA"/>
        </w:rPr>
        <w:t>.</w:t>
      </w:r>
    </w:p>
    <w:p w:rsidR="00143BBA" w:rsidRDefault="00143BBA" w:rsidP="006D67A0">
      <w:pPr>
        <w:ind w:firstLine="567"/>
        <w:jc w:val="both"/>
        <w:rPr>
          <w:sz w:val="28"/>
          <w:szCs w:val="28"/>
          <w:shd w:val="clear" w:color="auto" w:fill="FFFFFF"/>
          <w:lang w:val="uk-UA" w:eastAsia="en-US"/>
        </w:rPr>
      </w:pPr>
      <w:r>
        <w:rPr>
          <w:sz w:val="28"/>
          <w:szCs w:val="28"/>
          <w:lang w:val="uk-UA"/>
        </w:rPr>
        <w:t>Харківщина – один з найбільш індустріально розвинених регіонів України. Промисловий потенціал міста Харкова складається з підприємств практично всіх галузей. Провідна роль належить машинобудівній</w:t>
      </w:r>
      <w:r>
        <w:rPr>
          <w:sz w:val="28"/>
          <w:szCs w:val="28"/>
          <w:shd w:val="clear" w:color="auto" w:fill="FFFFFF"/>
          <w:lang w:val="uk-UA"/>
        </w:rPr>
        <w:t xml:space="preserve">, електроенергетичній, </w:t>
      </w:r>
      <w:r>
        <w:rPr>
          <w:sz w:val="28"/>
          <w:szCs w:val="28"/>
          <w:lang w:val="uk-UA"/>
        </w:rPr>
        <w:t>паливній, хімічній, харчовій галузям промисловості. Продукція харківських підприємств відома в Україні і за її межами. Це - турбіни і трактори, генератори для атомних електростанцій, літаки, танки, металообробні верстати та інше</w:t>
      </w:r>
      <w:r>
        <w:rPr>
          <w:sz w:val="28"/>
          <w:szCs w:val="28"/>
          <w:shd w:val="clear" w:color="auto" w:fill="FFFFFF"/>
          <w:lang w:val="uk-UA"/>
        </w:rPr>
        <w:t>.</w:t>
      </w:r>
    </w:p>
    <w:p w:rsidR="00143BBA" w:rsidRDefault="00143BBA" w:rsidP="006D67A0">
      <w:pPr>
        <w:shd w:val="clear" w:color="auto" w:fill="FFFFFF"/>
        <w:ind w:firstLine="567"/>
        <w:jc w:val="both"/>
        <w:rPr>
          <w:sz w:val="28"/>
          <w:szCs w:val="28"/>
          <w:lang w:val="uk-UA" w:eastAsia="en-US"/>
        </w:rPr>
      </w:pPr>
      <w:r>
        <w:rPr>
          <w:sz w:val="28"/>
          <w:szCs w:val="28"/>
          <w:lang w:val="uk-UA" w:eastAsia="en-US"/>
        </w:rPr>
        <w:t>У січні-лютому 2020 році підприємствами міста реалізовано промислової продукції (товарів, послуг) на 13,2 млрд грн (без ПДВ і акцизу), що складає 47,0% в загальному обсязі реалізованої промислової продукції (товарів, послуг) по області (28,1 млрд грн).</w:t>
      </w:r>
    </w:p>
    <w:p w:rsidR="00143BBA" w:rsidRDefault="00143BBA" w:rsidP="006D67A0">
      <w:pPr>
        <w:ind w:firstLine="708"/>
        <w:jc w:val="both"/>
        <w:rPr>
          <w:bCs/>
          <w:sz w:val="28"/>
          <w:szCs w:val="28"/>
          <w:lang w:val="uk-UA"/>
        </w:rPr>
      </w:pPr>
      <w:r>
        <w:rPr>
          <w:bCs/>
          <w:sz w:val="28"/>
          <w:szCs w:val="28"/>
          <w:lang w:val="uk-UA"/>
        </w:rPr>
        <w:t>По місту Харкову у січні-лютому 2020 року відбулося збільшення обсягів виробництва промислової продукції у порівнянні з аналогічним періодом 2019 року у машинобудівній галузі по випуску:</w:t>
      </w:r>
    </w:p>
    <w:p w:rsidR="00143BBA" w:rsidRDefault="00143BBA" w:rsidP="00EB57BD">
      <w:pPr>
        <w:pStyle w:val="ListParagraph"/>
        <w:numPr>
          <w:ilvl w:val="0"/>
          <w:numId w:val="6"/>
        </w:numPr>
        <w:ind w:left="0" w:firstLine="851"/>
        <w:jc w:val="both"/>
        <w:rPr>
          <w:bCs/>
          <w:sz w:val="28"/>
          <w:szCs w:val="28"/>
          <w:lang w:val="uk-UA"/>
        </w:rPr>
      </w:pPr>
      <w:r>
        <w:rPr>
          <w:bCs/>
          <w:sz w:val="28"/>
          <w:szCs w:val="28"/>
          <w:lang w:val="uk-UA"/>
        </w:rPr>
        <w:t>пристроїв для приймання, перетворення та передачі або відновлення голосу, зображень та інформації іншої (уключаючи пристрої для комутації та маршрутизації) у 3,4 рази;</w:t>
      </w:r>
    </w:p>
    <w:p w:rsidR="00143BBA" w:rsidRDefault="00143BBA" w:rsidP="00EB57BD">
      <w:pPr>
        <w:pStyle w:val="ListParagraph"/>
        <w:numPr>
          <w:ilvl w:val="0"/>
          <w:numId w:val="6"/>
        </w:numPr>
        <w:ind w:left="0" w:firstLine="851"/>
        <w:jc w:val="both"/>
        <w:rPr>
          <w:bCs/>
          <w:sz w:val="28"/>
          <w:szCs w:val="28"/>
          <w:lang w:val="uk-UA"/>
        </w:rPr>
      </w:pPr>
      <w:r>
        <w:rPr>
          <w:bCs/>
          <w:sz w:val="28"/>
          <w:szCs w:val="28"/>
          <w:lang w:val="uk-UA"/>
        </w:rPr>
        <w:t>приладів електричних сигналізаційних для захисту від крадіжки або пожежі та апаратури подібної для використання в будівлях на 61,2%;</w:t>
      </w:r>
    </w:p>
    <w:p w:rsidR="00143BBA" w:rsidRDefault="00143BBA" w:rsidP="00EB57BD">
      <w:pPr>
        <w:pStyle w:val="ListParagraph"/>
        <w:numPr>
          <w:ilvl w:val="0"/>
          <w:numId w:val="6"/>
        </w:numPr>
        <w:ind w:left="0" w:firstLine="851"/>
        <w:jc w:val="both"/>
        <w:rPr>
          <w:bCs/>
          <w:sz w:val="28"/>
          <w:szCs w:val="28"/>
          <w:lang w:val="uk-UA"/>
        </w:rPr>
      </w:pPr>
      <w:r>
        <w:rPr>
          <w:bCs/>
          <w:sz w:val="28"/>
          <w:szCs w:val="28"/>
          <w:lang w:val="uk-UA"/>
        </w:rPr>
        <w:t>лічильників електроенергії (уключаючи калібрувальні; крім вольтметрів, ампер-метрів, ватметрів тощо) у 2 рази;</w:t>
      </w:r>
    </w:p>
    <w:p w:rsidR="00143BBA" w:rsidRDefault="00143BBA" w:rsidP="00EB57BD">
      <w:pPr>
        <w:pStyle w:val="ListParagraph"/>
        <w:numPr>
          <w:ilvl w:val="0"/>
          <w:numId w:val="6"/>
        </w:numPr>
        <w:ind w:left="0" w:firstLine="851"/>
        <w:jc w:val="both"/>
        <w:rPr>
          <w:bCs/>
          <w:sz w:val="28"/>
          <w:szCs w:val="28"/>
          <w:lang w:val="uk-UA"/>
        </w:rPr>
      </w:pPr>
      <w:r>
        <w:rPr>
          <w:bCs/>
          <w:sz w:val="28"/>
          <w:szCs w:val="28"/>
          <w:lang w:val="uk-UA"/>
        </w:rPr>
        <w:t>інструментів й апаратури для автоматичного регулювання та керування на 14,8%;</w:t>
      </w:r>
    </w:p>
    <w:p w:rsidR="00143BBA" w:rsidRDefault="00143BBA" w:rsidP="00EB57BD">
      <w:pPr>
        <w:pStyle w:val="ListParagraph"/>
        <w:numPr>
          <w:ilvl w:val="0"/>
          <w:numId w:val="6"/>
        </w:numPr>
        <w:ind w:left="0" w:firstLine="851"/>
        <w:jc w:val="both"/>
        <w:rPr>
          <w:bCs/>
          <w:sz w:val="28"/>
          <w:szCs w:val="28"/>
          <w:lang w:val="uk-UA"/>
        </w:rPr>
      </w:pPr>
      <w:r>
        <w:rPr>
          <w:bCs/>
          <w:sz w:val="28"/>
          <w:szCs w:val="28"/>
          <w:lang w:val="uk-UA"/>
        </w:rPr>
        <w:t>трансформаторів інших, потужністю не більше 1 кВ А у 7,5 рази;</w:t>
      </w:r>
    </w:p>
    <w:p w:rsidR="00143BBA" w:rsidRDefault="00143BBA" w:rsidP="00EB57BD">
      <w:pPr>
        <w:pStyle w:val="ListParagraph"/>
        <w:numPr>
          <w:ilvl w:val="0"/>
          <w:numId w:val="6"/>
        </w:numPr>
        <w:ind w:left="0" w:firstLine="851"/>
        <w:jc w:val="both"/>
        <w:rPr>
          <w:bCs/>
          <w:sz w:val="28"/>
          <w:szCs w:val="28"/>
          <w:lang w:val="uk-UA"/>
        </w:rPr>
      </w:pPr>
      <w:r>
        <w:rPr>
          <w:bCs/>
          <w:sz w:val="28"/>
          <w:szCs w:val="28"/>
          <w:lang w:val="uk-UA"/>
        </w:rPr>
        <w:t>щитів, шаф і комбінацій подібних апаратури електричної для контролю або розподілу струму електричного на напругу більше 1 кВ, але не більше 72,5 кВ у 2 рази;</w:t>
      </w:r>
    </w:p>
    <w:p w:rsidR="00143BBA" w:rsidRDefault="00143BBA" w:rsidP="00EB57BD">
      <w:pPr>
        <w:pStyle w:val="ListParagraph"/>
        <w:numPr>
          <w:ilvl w:val="0"/>
          <w:numId w:val="6"/>
        </w:numPr>
        <w:ind w:left="0" w:firstLine="851"/>
        <w:jc w:val="both"/>
        <w:rPr>
          <w:bCs/>
          <w:sz w:val="28"/>
          <w:szCs w:val="28"/>
          <w:lang w:val="uk-UA"/>
        </w:rPr>
      </w:pPr>
      <w:r>
        <w:rPr>
          <w:bCs/>
          <w:sz w:val="28"/>
          <w:szCs w:val="28"/>
          <w:lang w:val="uk-UA"/>
        </w:rPr>
        <w:t>табло, панелі, консолі, підставки, шафи та інші основи для апаратури для контролю та розподілення електроенергії (крім апаратури, обладнаної відповідним устаткуванням) на 26,7 %;</w:t>
      </w:r>
    </w:p>
    <w:p w:rsidR="00143BBA" w:rsidRDefault="00143BBA" w:rsidP="00EB57BD">
      <w:pPr>
        <w:pStyle w:val="ListParagraph"/>
        <w:numPr>
          <w:ilvl w:val="0"/>
          <w:numId w:val="6"/>
        </w:numPr>
        <w:ind w:left="0" w:firstLine="851"/>
        <w:jc w:val="both"/>
        <w:rPr>
          <w:bCs/>
          <w:sz w:val="28"/>
          <w:szCs w:val="28"/>
          <w:lang w:val="uk-UA"/>
        </w:rPr>
      </w:pPr>
      <w:r>
        <w:rPr>
          <w:bCs/>
          <w:sz w:val="28"/>
          <w:szCs w:val="28"/>
          <w:lang w:val="uk-UA"/>
        </w:rPr>
        <w:t>провідників електричних на напругу не більше 1кВ, не оснащених з’єднувальними елементами на 23,0 %;</w:t>
      </w:r>
    </w:p>
    <w:p w:rsidR="00143BBA" w:rsidRDefault="00143BBA" w:rsidP="00EB57BD">
      <w:pPr>
        <w:pStyle w:val="ListParagraph"/>
        <w:numPr>
          <w:ilvl w:val="0"/>
          <w:numId w:val="6"/>
        </w:numPr>
        <w:ind w:left="0" w:firstLine="851"/>
        <w:jc w:val="both"/>
        <w:rPr>
          <w:bCs/>
          <w:sz w:val="28"/>
          <w:szCs w:val="28"/>
          <w:lang w:val="uk-UA"/>
        </w:rPr>
      </w:pPr>
      <w:r>
        <w:rPr>
          <w:bCs/>
          <w:sz w:val="28"/>
          <w:szCs w:val="28"/>
          <w:lang w:val="uk-UA"/>
        </w:rPr>
        <w:t>тракторів з потужністю двигуна більше 59 кВт (крім тракторів, керованих водієм, який іде поруч, тракторів-тягачів колісних для напівпричепів, тракторів гусеничних) на 58,3%.</w:t>
      </w:r>
    </w:p>
    <w:p w:rsidR="00143BBA" w:rsidRDefault="00143BBA" w:rsidP="006D67A0">
      <w:pPr>
        <w:ind w:firstLine="708"/>
        <w:jc w:val="both"/>
        <w:rPr>
          <w:bCs/>
          <w:sz w:val="28"/>
          <w:szCs w:val="28"/>
          <w:lang w:val="uk-UA"/>
        </w:rPr>
      </w:pPr>
      <w:r>
        <w:rPr>
          <w:bCs/>
          <w:sz w:val="28"/>
          <w:szCs w:val="28"/>
          <w:lang w:val="uk-UA"/>
        </w:rPr>
        <w:t>Одночасно зменшено виробництво:</w:t>
      </w:r>
    </w:p>
    <w:p w:rsidR="00143BBA" w:rsidRDefault="00143BBA" w:rsidP="00EB57BD">
      <w:pPr>
        <w:pStyle w:val="ListParagraph"/>
        <w:numPr>
          <w:ilvl w:val="0"/>
          <w:numId w:val="6"/>
        </w:numPr>
        <w:ind w:left="0" w:firstLine="851"/>
        <w:jc w:val="both"/>
        <w:rPr>
          <w:bCs/>
          <w:sz w:val="28"/>
          <w:szCs w:val="28"/>
          <w:lang w:val="uk-UA"/>
        </w:rPr>
      </w:pPr>
      <w:r>
        <w:rPr>
          <w:bCs/>
          <w:sz w:val="28"/>
          <w:szCs w:val="28"/>
          <w:lang w:val="uk-UA"/>
        </w:rPr>
        <w:t xml:space="preserve">інструментів, приладів та машин для вимірювання чи контролю, </w:t>
      </w:r>
      <w:r>
        <w:rPr>
          <w:bCs/>
          <w:sz w:val="28"/>
          <w:szCs w:val="28"/>
          <w:lang w:val="uk-UA"/>
        </w:rPr>
        <w:br/>
        <w:t>на 19,6%;</w:t>
      </w:r>
    </w:p>
    <w:p w:rsidR="00143BBA" w:rsidRDefault="00143BBA" w:rsidP="00EB57BD">
      <w:pPr>
        <w:pStyle w:val="ListParagraph"/>
        <w:numPr>
          <w:ilvl w:val="0"/>
          <w:numId w:val="6"/>
        </w:numPr>
        <w:ind w:left="0" w:firstLine="851"/>
        <w:jc w:val="both"/>
        <w:rPr>
          <w:bCs/>
          <w:sz w:val="28"/>
          <w:szCs w:val="28"/>
          <w:lang w:val="uk-UA"/>
        </w:rPr>
      </w:pPr>
      <w:r>
        <w:rPr>
          <w:bCs/>
          <w:sz w:val="28"/>
          <w:szCs w:val="28"/>
          <w:lang w:val="uk-UA"/>
        </w:rPr>
        <w:t>апаратури високовольтної та приладів комутаційних для кіл електричних на напругу не більше 1кВ на 86,3%;</w:t>
      </w:r>
    </w:p>
    <w:p w:rsidR="00143BBA" w:rsidRDefault="00143BBA" w:rsidP="00EB57BD">
      <w:pPr>
        <w:pStyle w:val="ListParagraph"/>
        <w:numPr>
          <w:ilvl w:val="0"/>
          <w:numId w:val="6"/>
        </w:numPr>
        <w:ind w:left="0" w:firstLine="851"/>
        <w:jc w:val="both"/>
        <w:rPr>
          <w:bCs/>
          <w:sz w:val="28"/>
          <w:szCs w:val="28"/>
          <w:lang w:val="uk-UA"/>
        </w:rPr>
      </w:pPr>
      <w:r>
        <w:rPr>
          <w:bCs/>
          <w:sz w:val="28"/>
          <w:szCs w:val="28"/>
          <w:lang w:val="uk-UA"/>
        </w:rPr>
        <w:t>реле та контакторів на напругу більше 60 В, але не більше 1кВ на 60,5%;</w:t>
      </w:r>
    </w:p>
    <w:p w:rsidR="00143BBA" w:rsidRDefault="00143BBA" w:rsidP="00EB57BD">
      <w:pPr>
        <w:pStyle w:val="ListParagraph"/>
        <w:numPr>
          <w:ilvl w:val="0"/>
          <w:numId w:val="6"/>
        </w:numPr>
        <w:ind w:left="0" w:firstLine="851"/>
        <w:jc w:val="both"/>
        <w:rPr>
          <w:bCs/>
          <w:sz w:val="28"/>
          <w:szCs w:val="28"/>
          <w:lang w:val="uk-UA"/>
        </w:rPr>
      </w:pPr>
      <w:r>
        <w:rPr>
          <w:bCs/>
          <w:sz w:val="28"/>
          <w:szCs w:val="28"/>
          <w:lang w:val="uk-UA"/>
        </w:rPr>
        <w:t>основ апаратури електричної для контролю та розподілення електроенергії, на напругу не більше 1кВ на 47,6%;</w:t>
      </w:r>
    </w:p>
    <w:p w:rsidR="00143BBA" w:rsidRDefault="00143BBA" w:rsidP="00EB57BD">
      <w:pPr>
        <w:pStyle w:val="ListParagraph"/>
        <w:numPr>
          <w:ilvl w:val="0"/>
          <w:numId w:val="6"/>
        </w:numPr>
        <w:ind w:left="0" w:firstLine="851"/>
        <w:jc w:val="both"/>
        <w:rPr>
          <w:bCs/>
          <w:sz w:val="28"/>
          <w:szCs w:val="28"/>
          <w:lang w:val="uk-UA"/>
        </w:rPr>
      </w:pPr>
      <w:r>
        <w:rPr>
          <w:bCs/>
          <w:sz w:val="28"/>
          <w:szCs w:val="28"/>
          <w:lang w:val="uk-UA"/>
        </w:rPr>
        <w:t>вилок та розеток штепсельних на напругу не більше 1кВ (крім для кабелів коаксіальних та схем друкованих) на 21,6%.</w:t>
      </w:r>
    </w:p>
    <w:p w:rsidR="00143BBA" w:rsidRDefault="00143BBA" w:rsidP="006D67A0">
      <w:pPr>
        <w:pStyle w:val="ListParagraph"/>
        <w:ind w:left="0" w:firstLine="709"/>
        <w:jc w:val="both"/>
        <w:rPr>
          <w:bCs/>
          <w:sz w:val="28"/>
          <w:szCs w:val="28"/>
          <w:lang w:val="uk-UA"/>
        </w:rPr>
      </w:pPr>
      <w:r>
        <w:rPr>
          <w:bCs/>
          <w:sz w:val="28"/>
          <w:szCs w:val="28"/>
          <w:lang w:val="uk-UA"/>
        </w:rPr>
        <w:t>У металургійному виробництві, виробництві готових металевих виробів, крім машин і устаткування збільшено випуск:</w:t>
      </w:r>
    </w:p>
    <w:p w:rsidR="00143BBA" w:rsidRDefault="00143BBA" w:rsidP="00EB57BD">
      <w:pPr>
        <w:pStyle w:val="ListParagraph"/>
        <w:numPr>
          <w:ilvl w:val="0"/>
          <w:numId w:val="7"/>
        </w:numPr>
        <w:ind w:left="0" w:firstLine="1069"/>
        <w:jc w:val="both"/>
        <w:rPr>
          <w:bCs/>
          <w:sz w:val="28"/>
          <w:szCs w:val="28"/>
          <w:lang w:val="uk-UA"/>
        </w:rPr>
      </w:pPr>
      <w:r>
        <w:rPr>
          <w:bCs/>
          <w:sz w:val="28"/>
          <w:szCs w:val="28"/>
          <w:lang w:val="uk-UA"/>
        </w:rPr>
        <w:t xml:space="preserve">труб і трубок, зварних, гарячого або холодного формування, прямокутного або квадратного поперечного перерізу, із зовнішнім діаметром не більше </w:t>
      </w:r>
      <w:smartTag w:uri="urn:schemas-microsoft-com:office:smarttags" w:element="metricconverter">
        <w:smartTagPr>
          <w:attr w:name="ProductID" w:val="406,4 мм"/>
        </w:smartTagPr>
        <w:r>
          <w:rPr>
            <w:bCs/>
            <w:sz w:val="28"/>
            <w:szCs w:val="28"/>
            <w:lang w:val="uk-UA"/>
          </w:rPr>
          <w:t>406,4 мм</w:t>
        </w:r>
      </w:smartTag>
      <w:r>
        <w:rPr>
          <w:bCs/>
          <w:sz w:val="28"/>
          <w:szCs w:val="28"/>
          <w:lang w:val="uk-UA"/>
        </w:rPr>
        <w:t xml:space="preserve">, з товщиною стінки не більше </w:t>
      </w:r>
      <w:smartTag w:uri="urn:schemas-microsoft-com:office:smarttags" w:element="metricconverter">
        <w:smartTagPr>
          <w:attr w:name="ProductID" w:val="2 мм"/>
        </w:smartTagPr>
        <w:r>
          <w:rPr>
            <w:bCs/>
            <w:sz w:val="28"/>
            <w:szCs w:val="28"/>
            <w:lang w:val="uk-UA"/>
          </w:rPr>
          <w:t>2 мм</w:t>
        </w:r>
      </w:smartTag>
      <w:r>
        <w:rPr>
          <w:bCs/>
          <w:sz w:val="28"/>
          <w:szCs w:val="28"/>
          <w:lang w:val="uk-UA"/>
        </w:rPr>
        <w:t>, зі сталі іншої, крім неіржавної на 25,6%;</w:t>
      </w:r>
    </w:p>
    <w:p w:rsidR="00143BBA" w:rsidRDefault="00143BBA" w:rsidP="001C33B8">
      <w:pPr>
        <w:numPr>
          <w:ilvl w:val="0"/>
          <w:numId w:val="7"/>
        </w:numPr>
        <w:ind w:left="0" w:firstLine="1069"/>
        <w:rPr>
          <w:bCs/>
          <w:sz w:val="28"/>
          <w:szCs w:val="28"/>
          <w:lang w:val="uk-UA"/>
        </w:rPr>
      </w:pPr>
      <w:r>
        <w:rPr>
          <w:bCs/>
          <w:sz w:val="28"/>
          <w:szCs w:val="28"/>
          <w:lang w:val="uk-UA"/>
        </w:rPr>
        <w:t>конструкцій, виготовлених виключно або переважно з листового матеріалу, з металів чорних на 8,4%;</w:t>
      </w:r>
    </w:p>
    <w:p w:rsidR="00143BBA" w:rsidRDefault="00143BBA" w:rsidP="00EB57BD">
      <w:pPr>
        <w:pStyle w:val="ListParagraph"/>
        <w:numPr>
          <w:ilvl w:val="0"/>
          <w:numId w:val="8"/>
        </w:numPr>
        <w:ind w:left="0" w:firstLine="1069"/>
        <w:jc w:val="both"/>
        <w:rPr>
          <w:bCs/>
          <w:sz w:val="28"/>
          <w:szCs w:val="28"/>
          <w:lang w:val="uk-UA"/>
        </w:rPr>
      </w:pPr>
      <w:r>
        <w:rPr>
          <w:bCs/>
          <w:sz w:val="28"/>
          <w:szCs w:val="28"/>
          <w:lang w:val="uk-UA"/>
        </w:rPr>
        <w:t>водозливів, шлюз, шлюзних воріт, дебаркадерів, доків стаціонарних, конструкцій для морських та водних споруд інших, з металів чорних; конструкцій інших та їх частин, з металів чорних на 7,6 %.</w:t>
      </w:r>
    </w:p>
    <w:p w:rsidR="00143BBA" w:rsidRDefault="00143BBA" w:rsidP="006D67A0">
      <w:pPr>
        <w:pStyle w:val="ListParagraph"/>
        <w:ind w:left="0" w:firstLine="1069"/>
        <w:jc w:val="both"/>
        <w:rPr>
          <w:bCs/>
          <w:sz w:val="28"/>
          <w:szCs w:val="28"/>
          <w:lang w:val="uk-UA"/>
        </w:rPr>
      </w:pPr>
      <w:r>
        <w:rPr>
          <w:bCs/>
          <w:sz w:val="28"/>
          <w:szCs w:val="28"/>
          <w:lang w:val="uk-UA"/>
        </w:rPr>
        <w:t>Одночасно зменшено виробництво:</w:t>
      </w:r>
    </w:p>
    <w:p w:rsidR="00143BBA" w:rsidRDefault="00143BBA" w:rsidP="001C33B8">
      <w:pPr>
        <w:numPr>
          <w:ilvl w:val="0"/>
          <w:numId w:val="8"/>
        </w:numPr>
        <w:ind w:left="0" w:firstLine="1069"/>
        <w:jc w:val="both"/>
        <w:rPr>
          <w:bCs/>
          <w:sz w:val="28"/>
          <w:szCs w:val="28"/>
          <w:lang w:val="uk-UA"/>
        </w:rPr>
      </w:pPr>
      <w:r>
        <w:rPr>
          <w:bCs/>
          <w:sz w:val="28"/>
          <w:szCs w:val="28"/>
          <w:lang w:val="uk-UA"/>
        </w:rPr>
        <w:t>зливків, форм первинних та напівфабрикатів, інших, зі сталі нелегованої на 13,8%;</w:t>
      </w:r>
    </w:p>
    <w:p w:rsidR="00143BBA" w:rsidRDefault="00143BBA" w:rsidP="00EB57BD">
      <w:pPr>
        <w:pStyle w:val="ListParagraph"/>
        <w:numPr>
          <w:ilvl w:val="0"/>
          <w:numId w:val="7"/>
        </w:numPr>
        <w:ind w:left="0" w:firstLine="1069"/>
        <w:jc w:val="both"/>
        <w:rPr>
          <w:bCs/>
          <w:sz w:val="28"/>
          <w:szCs w:val="28"/>
          <w:lang w:val="uk-UA"/>
        </w:rPr>
      </w:pPr>
      <w:r>
        <w:rPr>
          <w:bCs/>
          <w:sz w:val="28"/>
          <w:szCs w:val="28"/>
          <w:lang w:val="uk-UA"/>
        </w:rPr>
        <w:t>конструкцій збірних будівельних з чавуну чи сталі (житлових або промислових приміщень, шкіл, магазинів, навісів, гаражів або аналогічних будівель) на 53,8%;</w:t>
      </w:r>
    </w:p>
    <w:p w:rsidR="00143BBA" w:rsidRDefault="00143BBA" w:rsidP="001C33B8">
      <w:pPr>
        <w:numPr>
          <w:ilvl w:val="0"/>
          <w:numId w:val="8"/>
        </w:numPr>
        <w:ind w:left="142" w:firstLine="927"/>
        <w:jc w:val="both"/>
        <w:rPr>
          <w:bCs/>
          <w:sz w:val="28"/>
          <w:szCs w:val="28"/>
          <w:lang w:val="uk-UA"/>
        </w:rPr>
      </w:pPr>
      <w:r>
        <w:rPr>
          <w:bCs/>
          <w:sz w:val="28"/>
          <w:szCs w:val="28"/>
          <w:lang w:val="uk-UA"/>
        </w:rPr>
        <w:t xml:space="preserve">резервуарів, цистерн, баків та подібної ємності для твердих речовин, з металів чорних, місткістю понад </w:t>
      </w:r>
      <w:smartTag w:uri="urn:schemas-microsoft-com:office:smarttags" w:element="metricconverter">
        <w:smartTagPr>
          <w:attr w:name="ProductID" w:val="300 л"/>
        </w:smartTagPr>
        <w:r>
          <w:rPr>
            <w:bCs/>
            <w:sz w:val="28"/>
            <w:szCs w:val="28"/>
            <w:lang w:val="uk-UA"/>
          </w:rPr>
          <w:t>300 л</w:t>
        </w:r>
      </w:smartTag>
      <w:r>
        <w:rPr>
          <w:bCs/>
          <w:sz w:val="28"/>
          <w:szCs w:val="28"/>
          <w:lang w:val="uk-UA"/>
        </w:rPr>
        <w:t xml:space="preserve"> (крім оснащених механічним і тепловим обладнанням) на 26,8%.</w:t>
      </w:r>
    </w:p>
    <w:p w:rsidR="00143BBA" w:rsidRDefault="00143BBA" w:rsidP="006D67A0">
      <w:pPr>
        <w:ind w:firstLine="708"/>
        <w:jc w:val="both"/>
        <w:rPr>
          <w:bCs/>
          <w:sz w:val="28"/>
          <w:szCs w:val="28"/>
          <w:lang w:val="uk-UA"/>
        </w:rPr>
      </w:pPr>
      <w:r>
        <w:rPr>
          <w:bCs/>
          <w:sz w:val="28"/>
          <w:szCs w:val="28"/>
          <w:lang w:val="uk-UA"/>
        </w:rPr>
        <w:t>На підприємствах з виробництва харчових продуктів, напоїв та тютюнових виробів в січні-лютому 2020 року в порівнянні з аналогічним періодом 2019 року збільшився випуск:</w:t>
      </w:r>
    </w:p>
    <w:p w:rsidR="00143BBA" w:rsidRDefault="00143BBA" w:rsidP="00EB57BD">
      <w:pPr>
        <w:numPr>
          <w:ilvl w:val="0"/>
          <w:numId w:val="9"/>
        </w:numPr>
        <w:tabs>
          <w:tab w:val="left" w:pos="1418"/>
        </w:tabs>
        <w:ind w:left="0" w:firstLine="851"/>
        <w:jc w:val="both"/>
        <w:rPr>
          <w:bCs/>
          <w:sz w:val="28"/>
          <w:szCs w:val="28"/>
          <w:lang w:val="uk-UA"/>
        </w:rPr>
      </w:pPr>
      <w:r>
        <w:rPr>
          <w:bCs/>
          <w:sz w:val="28"/>
          <w:szCs w:val="28"/>
          <w:lang w:val="uk-UA"/>
        </w:rPr>
        <w:t>виробів ковбасних та подібних продуктів з м’яса, субпродуктів чи крові тварин та подібних виробів і харчових продуктів на їхній основі (крім виробів ковбасних з печінки та страв готових) на 9,2%;</w:t>
      </w:r>
    </w:p>
    <w:p w:rsidR="00143BBA" w:rsidRDefault="00143BBA" w:rsidP="00EB57BD">
      <w:pPr>
        <w:numPr>
          <w:ilvl w:val="0"/>
          <w:numId w:val="9"/>
        </w:numPr>
        <w:tabs>
          <w:tab w:val="left" w:pos="1418"/>
        </w:tabs>
        <w:ind w:left="0" w:firstLine="851"/>
        <w:jc w:val="both"/>
        <w:rPr>
          <w:bCs/>
          <w:sz w:val="28"/>
          <w:szCs w:val="28"/>
          <w:lang w:val="uk-UA"/>
        </w:rPr>
      </w:pPr>
      <w:r>
        <w:rPr>
          <w:bCs/>
          <w:sz w:val="28"/>
          <w:szCs w:val="28"/>
          <w:lang w:val="uk-UA"/>
        </w:rPr>
        <w:t xml:space="preserve">джемів, мармеладу, пюре, желе, конфітюрів, повидла, варення, </w:t>
      </w:r>
      <w:r>
        <w:rPr>
          <w:bCs/>
          <w:sz w:val="28"/>
          <w:szCs w:val="28"/>
          <w:lang w:val="uk-UA"/>
        </w:rPr>
        <w:br/>
        <w:t>з інших плодів і горіхів, підданих тепловому обробленню (крім продуктів гомогенізованих) на14,8%;</w:t>
      </w:r>
    </w:p>
    <w:p w:rsidR="00143BBA" w:rsidRDefault="00143BBA" w:rsidP="00EB57BD">
      <w:pPr>
        <w:pStyle w:val="ListParagraph"/>
        <w:numPr>
          <w:ilvl w:val="0"/>
          <w:numId w:val="10"/>
        </w:numPr>
        <w:tabs>
          <w:tab w:val="left" w:pos="0"/>
        </w:tabs>
        <w:ind w:left="0" w:firstLine="900"/>
        <w:jc w:val="both"/>
        <w:rPr>
          <w:bCs/>
          <w:sz w:val="28"/>
          <w:szCs w:val="28"/>
          <w:lang w:val="uk-UA"/>
        </w:rPr>
      </w:pPr>
      <w:r>
        <w:rPr>
          <w:bCs/>
          <w:sz w:val="28"/>
          <w:szCs w:val="28"/>
          <w:lang w:val="uk-UA"/>
        </w:rPr>
        <w:t>печива солодкого, вафлів та вафельних облатків, частково чи повністю покритих шоколадом або іншими сумішами, що містять какао на 5,0%;</w:t>
      </w:r>
    </w:p>
    <w:p w:rsidR="00143BBA" w:rsidRDefault="00143BBA" w:rsidP="001C33B8">
      <w:pPr>
        <w:numPr>
          <w:ilvl w:val="0"/>
          <w:numId w:val="10"/>
        </w:numPr>
        <w:ind w:left="0" w:firstLine="900"/>
        <w:jc w:val="both"/>
        <w:rPr>
          <w:bCs/>
          <w:sz w:val="28"/>
          <w:szCs w:val="28"/>
          <w:lang w:val="uk-UA"/>
        </w:rPr>
      </w:pPr>
      <w:r>
        <w:rPr>
          <w:bCs/>
          <w:sz w:val="28"/>
          <w:szCs w:val="28"/>
          <w:lang w:val="uk-UA"/>
        </w:rPr>
        <w:t>гумок, фруктових желе та фруктової пасти у вигляді кондитерських виробів з цукру (крім жувальної гумки) на 2,7%.</w:t>
      </w:r>
    </w:p>
    <w:p w:rsidR="00143BBA" w:rsidRDefault="00143BBA" w:rsidP="006D67A0">
      <w:pPr>
        <w:tabs>
          <w:tab w:val="left" w:pos="851"/>
        </w:tabs>
        <w:ind w:firstLine="708"/>
        <w:jc w:val="both"/>
        <w:rPr>
          <w:bCs/>
          <w:sz w:val="28"/>
          <w:szCs w:val="28"/>
          <w:lang w:val="uk-UA"/>
        </w:rPr>
      </w:pPr>
      <w:r>
        <w:rPr>
          <w:bCs/>
          <w:sz w:val="28"/>
          <w:szCs w:val="28"/>
          <w:lang w:val="uk-UA"/>
        </w:rPr>
        <w:t>В той же час відбулося падіння в виробництві:</w:t>
      </w:r>
    </w:p>
    <w:p w:rsidR="00143BBA" w:rsidRDefault="00143BBA" w:rsidP="001C33B8">
      <w:pPr>
        <w:numPr>
          <w:ilvl w:val="0"/>
          <w:numId w:val="11"/>
        </w:numPr>
        <w:tabs>
          <w:tab w:val="num" w:pos="0"/>
          <w:tab w:val="left" w:pos="851"/>
        </w:tabs>
        <w:ind w:left="0" w:firstLine="900"/>
        <w:jc w:val="both"/>
        <w:rPr>
          <w:bCs/>
          <w:sz w:val="28"/>
          <w:szCs w:val="28"/>
          <w:lang w:val="uk-UA"/>
        </w:rPr>
      </w:pPr>
      <w:r>
        <w:rPr>
          <w:bCs/>
          <w:sz w:val="28"/>
          <w:szCs w:val="28"/>
          <w:lang w:val="uk-UA"/>
        </w:rPr>
        <w:t>молока і вершків коагульованих, йогуртів, кефіру, сметани та інших ферментованих продуктів на 78,1 %;</w:t>
      </w:r>
    </w:p>
    <w:p w:rsidR="00143BBA" w:rsidRDefault="00143BBA" w:rsidP="00EB57BD">
      <w:pPr>
        <w:numPr>
          <w:ilvl w:val="0"/>
          <w:numId w:val="11"/>
        </w:numPr>
        <w:tabs>
          <w:tab w:val="left" w:pos="851"/>
          <w:tab w:val="num" w:pos="1418"/>
        </w:tabs>
        <w:ind w:left="1418" w:hanging="518"/>
        <w:jc w:val="both"/>
        <w:rPr>
          <w:bCs/>
          <w:sz w:val="28"/>
          <w:szCs w:val="28"/>
          <w:lang w:val="uk-UA"/>
        </w:rPr>
      </w:pPr>
      <w:r>
        <w:rPr>
          <w:bCs/>
          <w:sz w:val="28"/>
          <w:szCs w:val="28"/>
          <w:lang w:val="uk-UA"/>
        </w:rPr>
        <w:t>хліба та виробів хлібобулочних, нетривалого зберігання на 6,1 %;</w:t>
      </w:r>
    </w:p>
    <w:p w:rsidR="00143BBA" w:rsidRDefault="00143BBA" w:rsidP="00980262">
      <w:pPr>
        <w:numPr>
          <w:ilvl w:val="0"/>
          <w:numId w:val="11"/>
        </w:numPr>
        <w:tabs>
          <w:tab w:val="left" w:pos="851"/>
          <w:tab w:val="left" w:pos="1418"/>
        </w:tabs>
        <w:ind w:left="0" w:firstLine="900"/>
        <w:jc w:val="both"/>
        <w:rPr>
          <w:bCs/>
          <w:sz w:val="28"/>
          <w:szCs w:val="28"/>
          <w:lang w:val="uk-UA"/>
        </w:rPr>
      </w:pPr>
      <w:r>
        <w:rPr>
          <w:bCs/>
          <w:sz w:val="28"/>
          <w:szCs w:val="28"/>
          <w:lang w:val="uk-UA"/>
        </w:rPr>
        <w:t>вафлів та вафельних облатків (уключаючи солоні; крім частково чи повністю покритих шоколадом або іншими сумішами, що містять какао) на 11,1%;</w:t>
      </w:r>
    </w:p>
    <w:p w:rsidR="00143BBA" w:rsidRDefault="00143BBA" w:rsidP="00980262">
      <w:pPr>
        <w:numPr>
          <w:ilvl w:val="0"/>
          <w:numId w:val="11"/>
        </w:numPr>
        <w:tabs>
          <w:tab w:val="left" w:pos="851"/>
        </w:tabs>
        <w:ind w:left="0" w:firstLine="900"/>
        <w:jc w:val="both"/>
        <w:rPr>
          <w:bCs/>
          <w:sz w:val="28"/>
          <w:szCs w:val="28"/>
          <w:lang w:val="uk-UA"/>
        </w:rPr>
      </w:pPr>
      <w:r>
        <w:rPr>
          <w:bCs/>
          <w:sz w:val="28"/>
          <w:szCs w:val="28"/>
          <w:lang w:val="uk-UA"/>
        </w:rPr>
        <w:t>цукерок шоколадних (крім цукерок із вмістом алкоголю, шоколаду в брикетах, пластинах чи плитках) на 6,5%;</w:t>
      </w:r>
    </w:p>
    <w:p w:rsidR="00143BBA" w:rsidRDefault="00143BBA" w:rsidP="00EB57BD">
      <w:pPr>
        <w:numPr>
          <w:ilvl w:val="0"/>
          <w:numId w:val="9"/>
        </w:numPr>
        <w:tabs>
          <w:tab w:val="left" w:pos="1418"/>
        </w:tabs>
        <w:ind w:left="0" w:firstLine="851"/>
        <w:jc w:val="both"/>
        <w:rPr>
          <w:bCs/>
          <w:sz w:val="28"/>
          <w:szCs w:val="28"/>
          <w:lang w:val="uk-UA"/>
        </w:rPr>
      </w:pPr>
      <w:r>
        <w:rPr>
          <w:bCs/>
          <w:sz w:val="28"/>
          <w:szCs w:val="28"/>
          <w:lang w:val="uk-UA"/>
        </w:rPr>
        <w:t>карамелі, тофі (ірису)та солодощів аналогічних на 12,9%.</w:t>
      </w:r>
    </w:p>
    <w:p w:rsidR="00143BBA" w:rsidRDefault="00143BBA" w:rsidP="006D67A0">
      <w:pPr>
        <w:tabs>
          <w:tab w:val="left" w:pos="851"/>
        </w:tabs>
        <w:ind w:firstLine="708"/>
        <w:jc w:val="both"/>
        <w:rPr>
          <w:bCs/>
          <w:sz w:val="28"/>
          <w:szCs w:val="28"/>
          <w:lang w:val="uk-UA"/>
        </w:rPr>
      </w:pPr>
      <w:r>
        <w:rPr>
          <w:bCs/>
          <w:sz w:val="28"/>
          <w:szCs w:val="28"/>
          <w:lang w:val="uk-UA"/>
        </w:rPr>
        <w:t>У текстильному виробництві, виробництві одягу, шкіри, виробів зі шкіри та інших матеріалів відбулося збільшення випуску:</w:t>
      </w:r>
    </w:p>
    <w:p w:rsidR="00143BBA" w:rsidRDefault="00143BBA" w:rsidP="00980262">
      <w:pPr>
        <w:numPr>
          <w:ilvl w:val="0"/>
          <w:numId w:val="12"/>
        </w:numPr>
        <w:tabs>
          <w:tab w:val="left" w:pos="851"/>
          <w:tab w:val="num" w:pos="1560"/>
        </w:tabs>
        <w:ind w:left="0" w:firstLine="851"/>
        <w:jc w:val="both"/>
        <w:rPr>
          <w:spacing w:val="-2"/>
          <w:sz w:val="28"/>
          <w:szCs w:val="28"/>
          <w:lang w:val="uk-UA"/>
        </w:rPr>
      </w:pPr>
      <w:r>
        <w:rPr>
          <w:spacing w:val="-2"/>
          <w:sz w:val="28"/>
          <w:szCs w:val="28"/>
          <w:lang w:val="uk-UA"/>
        </w:rPr>
        <w:t>жилетів, анораків, лижних курток, курток вітрозахисних та подібних виробів (крім піджаків та блейзерів, трикотажних, просочених, з покриттям, ламінованих або гумованих), чоловічих та хлопчачих на 9,4 %.</w:t>
      </w:r>
    </w:p>
    <w:p w:rsidR="00143BBA" w:rsidRDefault="00143BBA" w:rsidP="006D67A0">
      <w:pPr>
        <w:tabs>
          <w:tab w:val="left" w:pos="851"/>
        </w:tabs>
        <w:jc w:val="both"/>
        <w:rPr>
          <w:spacing w:val="-2"/>
          <w:sz w:val="28"/>
          <w:szCs w:val="28"/>
          <w:lang w:val="uk-UA"/>
        </w:rPr>
      </w:pPr>
      <w:r>
        <w:rPr>
          <w:spacing w:val="-2"/>
          <w:sz w:val="28"/>
          <w:szCs w:val="28"/>
          <w:lang w:val="uk-UA"/>
        </w:rPr>
        <w:t>Одночасно відбулося падіння обсягів виробництва:</w:t>
      </w:r>
    </w:p>
    <w:p w:rsidR="00143BBA" w:rsidRDefault="00143BBA" w:rsidP="00980262">
      <w:pPr>
        <w:numPr>
          <w:ilvl w:val="0"/>
          <w:numId w:val="12"/>
        </w:numPr>
        <w:tabs>
          <w:tab w:val="left" w:pos="851"/>
          <w:tab w:val="left" w:pos="1276"/>
          <w:tab w:val="num" w:pos="1418"/>
        </w:tabs>
        <w:ind w:left="0" w:firstLine="851"/>
        <w:jc w:val="both"/>
        <w:rPr>
          <w:spacing w:val="-2"/>
          <w:sz w:val="28"/>
          <w:szCs w:val="28"/>
          <w:lang w:val="uk-UA"/>
        </w:rPr>
      </w:pPr>
      <w:r>
        <w:rPr>
          <w:spacing w:val="-2"/>
          <w:sz w:val="28"/>
          <w:szCs w:val="28"/>
          <w:lang w:val="uk-UA"/>
        </w:rPr>
        <w:t>тканин з ниток синтетичних та штучних комплексних високої міцності, тканин з ниток стрічкових чи подібних (уключаючи нейлон, інші поліаміди, віскозний (штучний) шовк) на 9,5%;</w:t>
      </w:r>
    </w:p>
    <w:p w:rsidR="00143BBA" w:rsidRDefault="00143BBA" w:rsidP="00EB57BD">
      <w:pPr>
        <w:numPr>
          <w:ilvl w:val="0"/>
          <w:numId w:val="13"/>
        </w:numPr>
        <w:tabs>
          <w:tab w:val="left" w:pos="851"/>
          <w:tab w:val="num" w:pos="1418"/>
        </w:tabs>
        <w:ind w:hanging="757"/>
        <w:rPr>
          <w:spacing w:val="-2"/>
          <w:sz w:val="28"/>
          <w:szCs w:val="28"/>
          <w:lang w:val="uk-UA"/>
        </w:rPr>
      </w:pPr>
      <w:r>
        <w:rPr>
          <w:spacing w:val="-2"/>
          <w:sz w:val="28"/>
          <w:szCs w:val="28"/>
          <w:lang w:val="uk-UA"/>
        </w:rPr>
        <w:t>пальт та плащів тощо, жіночих та дівчачих на 30,2%;</w:t>
      </w:r>
    </w:p>
    <w:p w:rsidR="00143BBA" w:rsidRPr="00B92EC1" w:rsidRDefault="00143BBA" w:rsidP="00EB57BD">
      <w:pPr>
        <w:numPr>
          <w:ilvl w:val="0"/>
          <w:numId w:val="12"/>
        </w:numPr>
        <w:tabs>
          <w:tab w:val="left" w:pos="851"/>
          <w:tab w:val="num" w:pos="1418"/>
        </w:tabs>
        <w:ind w:left="1418" w:hanging="567"/>
        <w:jc w:val="both"/>
        <w:rPr>
          <w:spacing w:val="-2"/>
          <w:sz w:val="28"/>
          <w:szCs w:val="28"/>
          <w:lang w:val="uk-UA"/>
        </w:rPr>
      </w:pPr>
      <w:r>
        <w:rPr>
          <w:sz w:val="28"/>
          <w:szCs w:val="28"/>
          <w:lang w:val="uk-UA"/>
        </w:rPr>
        <w:t>суконь, крім трикотажних, жіночих та дівчачих на 65,2 %;</w:t>
      </w:r>
    </w:p>
    <w:p w:rsidR="00143BBA" w:rsidRPr="00B92EC1" w:rsidRDefault="00143BBA" w:rsidP="00B92EC1">
      <w:pPr>
        <w:numPr>
          <w:ilvl w:val="0"/>
          <w:numId w:val="12"/>
        </w:numPr>
        <w:tabs>
          <w:tab w:val="left" w:pos="851"/>
          <w:tab w:val="num" w:pos="1418"/>
        </w:tabs>
        <w:ind w:left="0" w:firstLine="851"/>
        <w:jc w:val="both"/>
        <w:rPr>
          <w:spacing w:val="-2"/>
          <w:sz w:val="28"/>
          <w:szCs w:val="28"/>
          <w:lang w:val="uk-UA"/>
        </w:rPr>
      </w:pPr>
      <w:r w:rsidRPr="00B92EC1">
        <w:rPr>
          <w:spacing w:val="-2"/>
          <w:sz w:val="28"/>
          <w:szCs w:val="28"/>
          <w:lang w:val="uk-UA"/>
        </w:rPr>
        <w:t xml:space="preserve">взуття, призначеного для носіння на вулиці, з верхом зі шкіри натуральної чоловічої (уключаючи чоботи , півчоботи та черевики; крім водонепроникного взуття та взуття із захисним металевим підноском) на  </w:t>
      </w:r>
      <w:r>
        <w:rPr>
          <w:spacing w:val="-2"/>
          <w:sz w:val="28"/>
          <w:szCs w:val="28"/>
          <w:lang w:val="uk-UA"/>
        </w:rPr>
        <w:t xml:space="preserve">  </w:t>
      </w:r>
      <w:r w:rsidRPr="00B92EC1">
        <w:rPr>
          <w:spacing w:val="-2"/>
          <w:sz w:val="28"/>
          <w:szCs w:val="28"/>
          <w:lang w:val="uk-UA"/>
        </w:rPr>
        <w:t xml:space="preserve">68,4 %.          </w:t>
      </w:r>
    </w:p>
    <w:p w:rsidR="00143BBA" w:rsidRDefault="00143BBA" w:rsidP="00B92EC1">
      <w:pPr>
        <w:tabs>
          <w:tab w:val="left" w:pos="709"/>
        </w:tabs>
        <w:ind w:firstLine="851"/>
        <w:jc w:val="both"/>
        <w:rPr>
          <w:snapToGrid w:val="0"/>
          <w:sz w:val="28"/>
          <w:szCs w:val="28"/>
          <w:lang w:val="uk-UA"/>
        </w:rPr>
      </w:pPr>
      <w:r>
        <w:rPr>
          <w:snapToGrid w:val="0"/>
          <w:sz w:val="28"/>
          <w:szCs w:val="28"/>
          <w:lang w:val="uk-UA"/>
        </w:rPr>
        <w:t>У виготовленні виробів з деревини, виробництві паперу та поліграфічній діяльності відбулося падіння обсягів виробництва:</w:t>
      </w:r>
    </w:p>
    <w:p w:rsidR="00143BBA" w:rsidRDefault="00143BBA" w:rsidP="00980262">
      <w:pPr>
        <w:pStyle w:val="ListParagraph"/>
        <w:numPr>
          <w:ilvl w:val="0"/>
          <w:numId w:val="14"/>
        </w:numPr>
        <w:ind w:left="0" w:firstLine="851"/>
        <w:jc w:val="both"/>
        <w:rPr>
          <w:spacing w:val="-2"/>
          <w:sz w:val="28"/>
          <w:szCs w:val="28"/>
          <w:lang w:val="uk-UA"/>
        </w:rPr>
      </w:pPr>
      <w:r>
        <w:rPr>
          <w:snapToGrid w:val="0"/>
          <w:sz w:val="28"/>
          <w:szCs w:val="28"/>
          <w:lang w:val="uk-UA"/>
        </w:rPr>
        <w:t xml:space="preserve">деревини із сосни уздовж розпиляної чи розколотої, розділеної на шари чи лущеної, завтовшки більше </w:t>
      </w:r>
      <w:smartTag w:uri="urn:schemas-microsoft-com:office:smarttags" w:element="metricconverter">
        <w:smartTagPr>
          <w:attr w:name="ProductID" w:val="6 мм"/>
        </w:smartTagPr>
        <w:r>
          <w:rPr>
            <w:snapToGrid w:val="0"/>
            <w:sz w:val="28"/>
            <w:szCs w:val="28"/>
            <w:lang w:val="uk-UA"/>
          </w:rPr>
          <w:t>6 мм</w:t>
        </w:r>
      </w:smartTag>
      <w:r>
        <w:rPr>
          <w:snapToGrid w:val="0"/>
          <w:sz w:val="28"/>
          <w:szCs w:val="28"/>
          <w:lang w:val="uk-UA"/>
        </w:rPr>
        <w:t xml:space="preserve"> на 33,3%;</w:t>
      </w:r>
    </w:p>
    <w:p w:rsidR="00143BBA" w:rsidRDefault="00143BBA" w:rsidP="00EB57BD">
      <w:pPr>
        <w:pStyle w:val="ListParagraph"/>
        <w:numPr>
          <w:ilvl w:val="0"/>
          <w:numId w:val="14"/>
        </w:numPr>
        <w:ind w:hanging="578"/>
        <w:jc w:val="both"/>
        <w:rPr>
          <w:color w:val="00B050"/>
          <w:spacing w:val="-2"/>
          <w:sz w:val="28"/>
          <w:szCs w:val="28"/>
          <w:lang w:val="uk-UA"/>
        </w:rPr>
      </w:pPr>
      <w:r>
        <w:rPr>
          <w:spacing w:val="-2"/>
          <w:sz w:val="28"/>
          <w:szCs w:val="28"/>
          <w:lang w:val="uk-UA"/>
        </w:rPr>
        <w:t>дверей та їх коробок та порогів, з деревини на 66,4%;</w:t>
      </w:r>
    </w:p>
    <w:p w:rsidR="00143BBA" w:rsidRDefault="00143BBA" w:rsidP="00EB57BD">
      <w:pPr>
        <w:numPr>
          <w:ilvl w:val="0"/>
          <w:numId w:val="14"/>
        </w:numPr>
        <w:ind w:hanging="578"/>
        <w:rPr>
          <w:spacing w:val="-2"/>
          <w:sz w:val="28"/>
          <w:szCs w:val="28"/>
          <w:lang w:val="uk-UA"/>
        </w:rPr>
      </w:pPr>
      <w:r>
        <w:rPr>
          <w:spacing w:val="-2"/>
          <w:sz w:val="28"/>
          <w:szCs w:val="28"/>
          <w:lang w:val="uk-UA"/>
        </w:rPr>
        <w:t>коробок та ящиків, з паперу або картону гофрованих на 20,6 %;</w:t>
      </w:r>
    </w:p>
    <w:p w:rsidR="00143BBA" w:rsidRDefault="00143BBA" w:rsidP="00980262">
      <w:pPr>
        <w:pStyle w:val="ListParagraph"/>
        <w:numPr>
          <w:ilvl w:val="0"/>
          <w:numId w:val="15"/>
        </w:numPr>
        <w:tabs>
          <w:tab w:val="num" w:pos="1418"/>
        </w:tabs>
        <w:ind w:left="0" w:firstLine="851"/>
        <w:jc w:val="both"/>
        <w:rPr>
          <w:spacing w:val="-2"/>
          <w:sz w:val="28"/>
          <w:szCs w:val="28"/>
          <w:lang w:val="uk-UA"/>
        </w:rPr>
      </w:pPr>
      <w:r>
        <w:rPr>
          <w:spacing w:val="-2"/>
          <w:sz w:val="28"/>
          <w:szCs w:val="28"/>
          <w:lang w:val="uk-UA"/>
        </w:rPr>
        <w:t>коробок та ящиків, складаних, з паперу або картону негофрованих на 87,5%.</w:t>
      </w:r>
    </w:p>
    <w:p w:rsidR="00143BBA" w:rsidRDefault="00143BBA" w:rsidP="00980262">
      <w:pPr>
        <w:pStyle w:val="ListParagraph"/>
        <w:ind w:left="0" w:firstLine="851"/>
        <w:jc w:val="both"/>
        <w:rPr>
          <w:sz w:val="28"/>
          <w:szCs w:val="28"/>
          <w:lang w:val="uk-UA"/>
        </w:rPr>
      </w:pPr>
      <w:r>
        <w:rPr>
          <w:spacing w:val="-16"/>
          <w:sz w:val="28"/>
          <w:szCs w:val="28"/>
          <w:lang w:val="uk-UA"/>
        </w:rPr>
        <w:t xml:space="preserve">У виробництві </w:t>
      </w:r>
      <w:r>
        <w:rPr>
          <w:sz w:val="28"/>
          <w:szCs w:val="28"/>
          <w:lang w:val="uk-UA"/>
        </w:rPr>
        <w:t>будівельних виробів збільшено випуск:</w:t>
      </w:r>
    </w:p>
    <w:p w:rsidR="00143BBA" w:rsidRDefault="00143BBA" w:rsidP="00EB57BD">
      <w:pPr>
        <w:pStyle w:val="ListParagraph"/>
        <w:numPr>
          <w:ilvl w:val="0"/>
          <w:numId w:val="16"/>
        </w:numPr>
        <w:tabs>
          <w:tab w:val="clear" w:pos="1609"/>
          <w:tab w:val="num" w:pos="1418"/>
          <w:tab w:val="num" w:pos="1920"/>
        </w:tabs>
        <w:ind w:left="1418" w:hanging="567"/>
        <w:jc w:val="both"/>
        <w:rPr>
          <w:sz w:val="28"/>
          <w:szCs w:val="28"/>
          <w:lang w:val="uk-UA"/>
        </w:rPr>
      </w:pPr>
      <w:r>
        <w:rPr>
          <w:sz w:val="28"/>
          <w:szCs w:val="28"/>
          <w:lang w:val="uk-UA"/>
        </w:rPr>
        <w:t>розчинів бетонних, готових для використання на 18,0%.</w:t>
      </w:r>
    </w:p>
    <w:p w:rsidR="00143BBA" w:rsidRDefault="00143BBA" w:rsidP="006D67A0">
      <w:pPr>
        <w:pStyle w:val="ListParagraph"/>
        <w:ind w:hanging="758"/>
        <w:jc w:val="both"/>
        <w:rPr>
          <w:sz w:val="28"/>
          <w:szCs w:val="28"/>
          <w:lang w:val="uk-UA"/>
        </w:rPr>
      </w:pPr>
      <w:r>
        <w:rPr>
          <w:sz w:val="28"/>
          <w:szCs w:val="28"/>
          <w:lang w:val="uk-UA"/>
        </w:rPr>
        <w:t>Одночасно зменшено випуск:</w:t>
      </w:r>
    </w:p>
    <w:p w:rsidR="00143BBA" w:rsidRDefault="00143BBA" w:rsidP="00980262">
      <w:pPr>
        <w:pStyle w:val="ListParagraph"/>
        <w:numPr>
          <w:ilvl w:val="0"/>
          <w:numId w:val="16"/>
        </w:numPr>
        <w:tabs>
          <w:tab w:val="clear" w:pos="1609"/>
          <w:tab w:val="num" w:pos="1418"/>
          <w:tab w:val="num" w:pos="1920"/>
        </w:tabs>
        <w:ind w:left="0" w:firstLine="851"/>
        <w:jc w:val="both"/>
        <w:rPr>
          <w:sz w:val="28"/>
          <w:szCs w:val="28"/>
          <w:lang w:val="uk-UA"/>
        </w:rPr>
      </w:pPr>
      <w:r>
        <w:rPr>
          <w:sz w:val="28"/>
          <w:szCs w:val="28"/>
          <w:lang w:val="uk-UA"/>
        </w:rPr>
        <w:t>блоків та цегли з цементу, бетону або каменю штучного для будівництва на 33,2 %;</w:t>
      </w:r>
    </w:p>
    <w:p w:rsidR="00143BBA" w:rsidRDefault="00143BBA" w:rsidP="00980262">
      <w:pPr>
        <w:pStyle w:val="ListParagraph"/>
        <w:numPr>
          <w:ilvl w:val="0"/>
          <w:numId w:val="16"/>
        </w:numPr>
        <w:tabs>
          <w:tab w:val="clear" w:pos="1609"/>
          <w:tab w:val="num" w:pos="1418"/>
          <w:tab w:val="num" w:pos="1920"/>
        </w:tabs>
        <w:ind w:left="0" w:firstLine="851"/>
        <w:jc w:val="both"/>
        <w:rPr>
          <w:sz w:val="28"/>
          <w:szCs w:val="28"/>
          <w:lang w:val="uk-UA"/>
        </w:rPr>
      </w:pPr>
      <w:r>
        <w:rPr>
          <w:spacing w:val="-2"/>
          <w:sz w:val="28"/>
          <w:szCs w:val="28"/>
          <w:lang w:val="uk-UA"/>
        </w:rPr>
        <w:t>елементів конструкцій збірних для будівництва з цементу, бетону або каменю штучного на 21,9%;</w:t>
      </w:r>
    </w:p>
    <w:p w:rsidR="00143BBA" w:rsidRDefault="00143BBA" w:rsidP="00980262">
      <w:pPr>
        <w:pStyle w:val="ListParagraph"/>
        <w:numPr>
          <w:ilvl w:val="0"/>
          <w:numId w:val="16"/>
        </w:numPr>
        <w:tabs>
          <w:tab w:val="clear" w:pos="1609"/>
          <w:tab w:val="num" w:pos="1418"/>
          <w:tab w:val="num" w:pos="1920"/>
        </w:tabs>
        <w:ind w:left="0" w:firstLine="851"/>
        <w:jc w:val="both"/>
        <w:rPr>
          <w:sz w:val="28"/>
          <w:szCs w:val="28"/>
          <w:lang w:val="uk-UA"/>
        </w:rPr>
      </w:pPr>
      <w:r>
        <w:rPr>
          <w:spacing w:val="-2"/>
          <w:sz w:val="28"/>
          <w:szCs w:val="28"/>
          <w:lang w:val="uk-UA"/>
        </w:rPr>
        <w:t>сумішей будівельних сухих (крім розчинів бетонних, готових для використання) на 7,7%.</w:t>
      </w:r>
    </w:p>
    <w:p w:rsidR="00143BBA" w:rsidRDefault="00143BBA" w:rsidP="006D67A0">
      <w:pPr>
        <w:tabs>
          <w:tab w:val="left" w:pos="851"/>
          <w:tab w:val="left" w:pos="993"/>
        </w:tabs>
        <w:jc w:val="both"/>
        <w:rPr>
          <w:snapToGrid w:val="0"/>
          <w:sz w:val="28"/>
          <w:szCs w:val="28"/>
          <w:lang w:val="uk-UA"/>
        </w:rPr>
      </w:pPr>
      <w:r>
        <w:rPr>
          <w:spacing w:val="-16"/>
          <w:sz w:val="28"/>
          <w:szCs w:val="28"/>
          <w:lang w:val="uk-UA"/>
        </w:rPr>
        <w:t>У виробництві хімічних речовин і хімічної продукції</w:t>
      </w:r>
      <w:r>
        <w:rPr>
          <w:snapToGrid w:val="0"/>
          <w:sz w:val="28"/>
          <w:szCs w:val="28"/>
          <w:lang w:val="uk-UA"/>
        </w:rPr>
        <w:t xml:space="preserve"> збільшено випуск:</w:t>
      </w:r>
    </w:p>
    <w:p w:rsidR="00143BBA" w:rsidRDefault="00143BBA" w:rsidP="00980262">
      <w:pPr>
        <w:numPr>
          <w:ilvl w:val="0"/>
          <w:numId w:val="17"/>
        </w:numPr>
        <w:tabs>
          <w:tab w:val="num" w:pos="1418"/>
        </w:tabs>
        <w:ind w:left="0" w:firstLine="847"/>
        <w:jc w:val="both"/>
        <w:rPr>
          <w:snapToGrid w:val="0"/>
          <w:sz w:val="28"/>
          <w:szCs w:val="28"/>
          <w:lang w:val="uk-UA"/>
        </w:rPr>
      </w:pPr>
      <w:r>
        <w:rPr>
          <w:snapToGrid w:val="0"/>
          <w:sz w:val="28"/>
          <w:szCs w:val="28"/>
          <w:lang w:val="uk-UA"/>
        </w:rPr>
        <w:t>засобів косметичних для макіяжу чи догляду за шкірою, у т.ч. засобів сонцезахисних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на 20,4 %;</w:t>
      </w:r>
    </w:p>
    <w:p w:rsidR="00143BBA" w:rsidRDefault="00143BBA" w:rsidP="00980262">
      <w:pPr>
        <w:numPr>
          <w:ilvl w:val="0"/>
          <w:numId w:val="17"/>
        </w:numPr>
        <w:tabs>
          <w:tab w:val="left" w:pos="851"/>
          <w:tab w:val="left" w:pos="993"/>
          <w:tab w:val="num" w:pos="1418"/>
        </w:tabs>
        <w:ind w:left="0" w:firstLine="993"/>
        <w:jc w:val="both"/>
        <w:rPr>
          <w:spacing w:val="-2"/>
          <w:sz w:val="28"/>
          <w:szCs w:val="28"/>
          <w:lang w:val="uk-UA"/>
        </w:rPr>
      </w:pPr>
      <w:r>
        <w:rPr>
          <w:spacing w:val="-2"/>
          <w:sz w:val="28"/>
          <w:szCs w:val="28"/>
          <w:lang w:val="uk-UA"/>
        </w:rPr>
        <w:t>мила та речовин поверхнево-активних органічних у вигляді брусків, брикетів, фігурних формованих виробів або у інших формах, для туалетних цілей на 31,0%.</w:t>
      </w:r>
    </w:p>
    <w:p w:rsidR="00143BBA" w:rsidRDefault="00143BBA" w:rsidP="006D67A0">
      <w:pPr>
        <w:tabs>
          <w:tab w:val="left" w:pos="851"/>
          <w:tab w:val="left" w:pos="993"/>
        </w:tabs>
        <w:jc w:val="both"/>
        <w:rPr>
          <w:spacing w:val="-2"/>
          <w:sz w:val="28"/>
          <w:szCs w:val="28"/>
          <w:lang w:val="uk-UA"/>
        </w:rPr>
      </w:pPr>
      <w:r>
        <w:rPr>
          <w:spacing w:val="-2"/>
          <w:sz w:val="28"/>
          <w:szCs w:val="28"/>
          <w:lang w:val="uk-UA"/>
        </w:rPr>
        <w:t>Одночасно зменшено випуск:</w:t>
      </w:r>
    </w:p>
    <w:p w:rsidR="00143BBA" w:rsidRDefault="00143BBA" w:rsidP="00980262">
      <w:pPr>
        <w:numPr>
          <w:ilvl w:val="0"/>
          <w:numId w:val="17"/>
        </w:numPr>
        <w:tabs>
          <w:tab w:val="left" w:pos="851"/>
          <w:tab w:val="left" w:pos="993"/>
          <w:tab w:val="num" w:pos="1418"/>
        </w:tabs>
        <w:ind w:left="0" w:firstLine="993"/>
        <w:jc w:val="both"/>
        <w:rPr>
          <w:spacing w:val="-2"/>
          <w:sz w:val="28"/>
          <w:szCs w:val="28"/>
          <w:lang w:val="uk-UA"/>
        </w:rPr>
      </w:pPr>
      <w:r>
        <w:rPr>
          <w:snapToGrid w:val="0"/>
          <w:sz w:val="28"/>
          <w:szCs w:val="28"/>
          <w:lang w:val="uk-UA"/>
        </w:rPr>
        <w:t>фарб та лаків на основі поліакрилових чи вінілових полімерів, диспергованих чи розчинених у водному середовищі (уключаючи емалі та політури) на 30,0%;</w:t>
      </w:r>
    </w:p>
    <w:p w:rsidR="00143BBA" w:rsidRDefault="00143BBA" w:rsidP="00980262">
      <w:pPr>
        <w:numPr>
          <w:ilvl w:val="0"/>
          <w:numId w:val="17"/>
        </w:numPr>
        <w:tabs>
          <w:tab w:val="left" w:pos="851"/>
          <w:tab w:val="left" w:pos="993"/>
          <w:tab w:val="num" w:pos="1418"/>
        </w:tabs>
        <w:ind w:left="0" w:firstLine="993"/>
        <w:jc w:val="both"/>
        <w:rPr>
          <w:spacing w:val="-2"/>
          <w:sz w:val="28"/>
          <w:szCs w:val="28"/>
          <w:lang w:val="uk-UA"/>
        </w:rPr>
      </w:pPr>
      <w:r>
        <w:rPr>
          <w:spacing w:val="-2"/>
          <w:sz w:val="28"/>
          <w:szCs w:val="28"/>
          <w:lang w:val="uk-UA"/>
        </w:rPr>
        <w:t>засобів мийних та для чищення, які містять або не містять мило, включаючи допоміжні засоби, для миття, розфасованих для роздрібної торгівлі (крім тих, що їх використовують як мило та поверхнево-активні речовини ) на 85,3%;</w:t>
      </w:r>
    </w:p>
    <w:p w:rsidR="00143BBA" w:rsidRDefault="00143BBA" w:rsidP="00980262">
      <w:pPr>
        <w:numPr>
          <w:ilvl w:val="0"/>
          <w:numId w:val="17"/>
        </w:numPr>
        <w:tabs>
          <w:tab w:val="left" w:pos="851"/>
          <w:tab w:val="left" w:pos="993"/>
          <w:tab w:val="num" w:pos="1418"/>
        </w:tabs>
        <w:ind w:left="0" w:firstLine="993"/>
        <w:jc w:val="both"/>
        <w:rPr>
          <w:spacing w:val="-2"/>
          <w:sz w:val="28"/>
          <w:szCs w:val="28"/>
          <w:lang w:val="uk-UA"/>
        </w:rPr>
      </w:pPr>
      <w:r>
        <w:rPr>
          <w:spacing w:val="-2"/>
          <w:sz w:val="28"/>
          <w:szCs w:val="28"/>
          <w:lang w:val="uk-UA"/>
        </w:rPr>
        <w:t>речовин поверхнево-активних органічних та засобів для миття шкіри, які містять або не містять мило, розфасованих для роздрібної торгівлі на 24,0%</w:t>
      </w:r>
      <w:r>
        <w:rPr>
          <w:snapToGrid w:val="0"/>
          <w:sz w:val="28"/>
          <w:szCs w:val="28"/>
          <w:lang w:val="uk-UA"/>
        </w:rPr>
        <w:t>.</w:t>
      </w:r>
    </w:p>
    <w:p w:rsidR="00143BBA" w:rsidRDefault="00143BBA" w:rsidP="006D67A0">
      <w:pPr>
        <w:pStyle w:val="ListParagraph"/>
        <w:tabs>
          <w:tab w:val="left" w:pos="1134"/>
        </w:tabs>
        <w:ind w:hanging="720"/>
        <w:jc w:val="both"/>
        <w:rPr>
          <w:spacing w:val="-2"/>
          <w:sz w:val="28"/>
          <w:szCs w:val="28"/>
          <w:lang w:val="uk-UA"/>
        </w:rPr>
      </w:pPr>
      <w:r>
        <w:rPr>
          <w:spacing w:val="-2"/>
          <w:sz w:val="28"/>
          <w:szCs w:val="28"/>
          <w:lang w:val="uk-UA"/>
        </w:rPr>
        <w:t>У виробництві пластмасових виробів збільшено випуск:</w:t>
      </w:r>
    </w:p>
    <w:p w:rsidR="00143BBA" w:rsidRDefault="00143BBA" w:rsidP="00980262">
      <w:pPr>
        <w:pStyle w:val="ListParagraph"/>
        <w:numPr>
          <w:ilvl w:val="0"/>
          <w:numId w:val="18"/>
        </w:numPr>
        <w:ind w:left="0" w:firstLine="1080"/>
        <w:jc w:val="both"/>
        <w:rPr>
          <w:spacing w:val="-2"/>
          <w:sz w:val="28"/>
          <w:szCs w:val="28"/>
          <w:lang w:val="uk-UA"/>
        </w:rPr>
      </w:pPr>
      <w:r>
        <w:rPr>
          <w:spacing w:val="-2"/>
          <w:sz w:val="28"/>
          <w:szCs w:val="28"/>
          <w:lang w:val="uk-UA"/>
        </w:rPr>
        <w:t xml:space="preserve">плит, листів, плівок, фольги і стрічок, з полімерів етилену, неармованих або не з’єднаних з іншими матеріалами, завтовшки </w:t>
      </w:r>
      <w:smartTag w:uri="urn:schemas-microsoft-com:office:smarttags" w:element="metricconverter">
        <w:smartTagPr>
          <w:attr w:name="ProductID" w:val="0,125 мм"/>
        </w:smartTagPr>
        <w:r>
          <w:rPr>
            <w:spacing w:val="-2"/>
            <w:sz w:val="28"/>
            <w:szCs w:val="28"/>
            <w:lang w:val="uk-UA"/>
          </w:rPr>
          <w:t>0,125 мм</w:t>
        </w:r>
      </w:smartTag>
      <w:r>
        <w:rPr>
          <w:spacing w:val="-2"/>
          <w:sz w:val="28"/>
          <w:szCs w:val="28"/>
          <w:lang w:val="uk-UA"/>
        </w:rPr>
        <w:t xml:space="preserve"> і менше на 5,3%;</w:t>
      </w:r>
    </w:p>
    <w:p w:rsidR="00143BBA" w:rsidRDefault="00143BBA" w:rsidP="00980262">
      <w:pPr>
        <w:numPr>
          <w:ilvl w:val="0"/>
          <w:numId w:val="18"/>
        </w:numPr>
        <w:ind w:left="0" w:firstLine="1080"/>
        <w:jc w:val="both"/>
        <w:rPr>
          <w:spacing w:val="-2"/>
          <w:sz w:val="28"/>
          <w:szCs w:val="28"/>
          <w:lang w:val="uk-UA"/>
        </w:rPr>
      </w:pPr>
      <w:r>
        <w:rPr>
          <w:spacing w:val="-2"/>
          <w:sz w:val="28"/>
          <w:szCs w:val="28"/>
          <w:lang w:val="uk-UA"/>
        </w:rPr>
        <w:t xml:space="preserve">бутлів, пляшок, флаконів, фляг та виробів подібних для транспортування або пакування продукції (стаканів для сметани , йогуртів тощо), місткістю </w:t>
      </w:r>
      <w:smartTag w:uri="urn:schemas-microsoft-com:office:smarttags" w:element="metricconverter">
        <w:smartTagPr>
          <w:attr w:name="ProductID" w:val="2 л"/>
        </w:smartTagPr>
        <w:r>
          <w:rPr>
            <w:spacing w:val="-2"/>
            <w:sz w:val="28"/>
            <w:szCs w:val="28"/>
            <w:lang w:val="uk-UA"/>
          </w:rPr>
          <w:t>2 л</w:t>
        </w:r>
      </w:smartTag>
      <w:r>
        <w:rPr>
          <w:spacing w:val="-2"/>
          <w:sz w:val="28"/>
          <w:szCs w:val="28"/>
          <w:lang w:val="uk-UA"/>
        </w:rPr>
        <w:t xml:space="preserve"> і менше, з пластмас на 13,8%;</w:t>
      </w:r>
    </w:p>
    <w:p w:rsidR="00143BBA" w:rsidRDefault="00143BBA" w:rsidP="00980262">
      <w:pPr>
        <w:pStyle w:val="ListParagraph"/>
        <w:numPr>
          <w:ilvl w:val="0"/>
          <w:numId w:val="19"/>
        </w:numPr>
        <w:ind w:left="0" w:firstLine="1080"/>
        <w:jc w:val="both"/>
        <w:rPr>
          <w:spacing w:val="-2"/>
          <w:sz w:val="28"/>
          <w:szCs w:val="28"/>
          <w:lang w:val="uk-UA"/>
        </w:rPr>
      </w:pPr>
      <w:r>
        <w:rPr>
          <w:spacing w:val="-2"/>
          <w:sz w:val="28"/>
          <w:szCs w:val="28"/>
          <w:lang w:val="uk-UA"/>
        </w:rPr>
        <w:t>виробів домашнього вжитку та виробів для туалетних кімнат, з пластмас (крім посуду столового та кухонного; ванн, душів та раковин, біде, унітазів, сидінь та кришок для унітазів, бачків змивних та виробів санітарно-технічних подібних) на 45,5%.</w:t>
      </w:r>
    </w:p>
    <w:p w:rsidR="00143BBA" w:rsidRDefault="00143BBA" w:rsidP="006D67A0">
      <w:pPr>
        <w:pStyle w:val="ListParagraph"/>
        <w:ind w:hanging="720"/>
        <w:jc w:val="both"/>
        <w:rPr>
          <w:spacing w:val="-2"/>
          <w:sz w:val="28"/>
          <w:szCs w:val="28"/>
          <w:lang w:val="uk-UA"/>
        </w:rPr>
      </w:pPr>
      <w:r>
        <w:rPr>
          <w:spacing w:val="-2"/>
          <w:sz w:val="28"/>
          <w:szCs w:val="28"/>
          <w:lang w:val="uk-UA"/>
        </w:rPr>
        <w:t>Одночасно зменшено випуск:</w:t>
      </w:r>
    </w:p>
    <w:p w:rsidR="00143BBA" w:rsidRDefault="00143BBA" w:rsidP="00980262">
      <w:pPr>
        <w:numPr>
          <w:ilvl w:val="0"/>
          <w:numId w:val="19"/>
        </w:numPr>
        <w:ind w:left="0" w:firstLine="1080"/>
        <w:jc w:val="both"/>
        <w:rPr>
          <w:spacing w:val="-2"/>
          <w:sz w:val="28"/>
          <w:szCs w:val="28"/>
          <w:lang w:val="uk-UA"/>
        </w:rPr>
      </w:pPr>
      <w:r>
        <w:rPr>
          <w:spacing w:val="-2"/>
          <w:sz w:val="28"/>
          <w:szCs w:val="28"/>
          <w:lang w:val="uk-UA"/>
        </w:rPr>
        <w:t xml:space="preserve">плит, листів, плівок, фольги і стрічок, з полімерів етилену, неармованих або не з’єднаних з іншими матеріалами, завтовшки  більше </w:t>
      </w:r>
      <w:smartTag w:uri="urn:schemas-microsoft-com:office:smarttags" w:element="metricconverter">
        <w:smartTagPr>
          <w:attr w:name="ProductID" w:val="0,125 мм"/>
        </w:smartTagPr>
        <w:r>
          <w:rPr>
            <w:spacing w:val="-2"/>
            <w:sz w:val="28"/>
            <w:szCs w:val="28"/>
            <w:lang w:val="uk-UA"/>
          </w:rPr>
          <w:t>0,125 мм</w:t>
        </w:r>
      </w:smartTag>
      <w:r>
        <w:rPr>
          <w:spacing w:val="-2"/>
          <w:sz w:val="28"/>
          <w:szCs w:val="28"/>
          <w:lang w:val="uk-UA"/>
        </w:rPr>
        <w:t xml:space="preserve"> на 11,1%;</w:t>
      </w:r>
    </w:p>
    <w:p w:rsidR="00143BBA" w:rsidRDefault="00143BBA" w:rsidP="00980262">
      <w:pPr>
        <w:pStyle w:val="ListParagraph"/>
        <w:numPr>
          <w:ilvl w:val="0"/>
          <w:numId w:val="18"/>
        </w:numPr>
        <w:ind w:left="0" w:firstLine="1080"/>
        <w:jc w:val="both"/>
        <w:rPr>
          <w:spacing w:val="-2"/>
          <w:sz w:val="28"/>
          <w:szCs w:val="28"/>
          <w:lang w:val="uk-UA"/>
        </w:rPr>
      </w:pPr>
      <w:r>
        <w:rPr>
          <w:spacing w:val="-2"/>
          <w:sz w:val="28"/>
          <w:szCs w:val="28"/>
          <w:lang w:val="uk-UA"/>
        </w:rPr>
        <w:t>мішків та пакетів (у т.ч. конусоподібних), з полімеру етилену (не включаючи із синтетичних текстильних матеріалів) на 0,1 %;</w:t>
      </w:r>
    </w:p>
    <w:p w:rsidR="00143BBA" w:rsidRDefault="00143BBA" w:rsidP="00980262">
      <w:pPr>
        <w:numPr>
          <w:ilvl w:val="0"/>
          <w:numId w:val="19"/>
        </w:numPr>
        <w:ind w:left="0" w:firstLine="1080"/>
        <w:jc w:val="both"/>
        <w:rPr>
          <w:spacing w:val="-2"/>
          <w:sz w:val="28"/>
          <w:szCs w:val="28"/>
          <w:lang w:val="uk-UA"/>
        </w:rPr>
      </w:pPr>
      <w:r>
        <w:rPr>
          <w:spacing w:val="-2"/>
          <w:sz w:val="28"/>
          <w:szCs w:val="28"/>
          <w:lang w:val="uk-UA"/>
        </w:rPr>
        <w:t>мішків та пакетів (у т.ч. конусоподібних), з пластмас інших (крім з полімерів етилену) (не включаючи із синтетичних текстильних матеріалів) на 6,5%.</w:t>
      </w:r>
    </w:p>
    <w:p w:rsidR="00143BBA" w:rsidRDefault="00143BBA" w:rsidP="006D67A0">
      <w:pPr>
        <w:pStyle w:val="ListParagraph"/>
        <w:ind w:hanging="720"/>
        <w:jc w:val="both"/>
        <w:rPr>
          <w:spacing w:val="-2"/>
          <w:sz w:val="28"/>
          <w:szCs w:val="28"/>
          <w:lang w:val="uk-UA"/>
        </w:rPr>
      </w:pPr>
      <w:r>
        <w:rPr>
          <w:spacing w:val="-2"/>
          <w:sz w:val="28"/>
          <w:szCs w:val="28"/>
          <w:lang w:val="uk-UA"/>
        </w:rPr>
        <w:t>У виробництві меблів збільшено випуск:</w:t>
      </w:r>
    </w:p>
    <w:p w:rsidR="00143BBA" w:rsidRDefault="00143BBA" w:rsidP="00980262">
      <w:pPr>
        <w:pStyle w:val="ListParagraph"/>
        <w:numPr>
          <w:ilvl w:val="0"/>
          <w:numId w:val="20"/>
        </w:numPr>
        <w:ind w:left="0" w:firstLine="1080"/>
        <w:jc w:val="both"/>
        <w:rPr>
          <w:spacing w:val="-2"/>
          <w:sz w:val="28"/>
          <w:szCs w:val="28"/>
          <w:lang w:val="uk-UA"/>
        </w:rPr>
      </w:pPr>
      <w:r>
        <w:rPr>
          <w:spacing w:val="-2"/>
          <w:sz w:val="28"/>
          <w:szCs w:val="28"/>
          <w:lang w:val="uk-UA"/>
        </w:rPr>
        <w:t>меблів для сидіння жорстких з металевим каркасом (крім обертових, медичних, хірургічних, стоматологічних або ветеринарних, перукарських тощо) на 14,9%;</w:t>
      </w:r>
    </w:p>
    <w:p w:rsidR="00143BBA" w:rsidRDefault="00143BBA" w:rsidP="00EB57BD">
      <w:pPr>
        <w:pStyle w:val="ListParagraph"/>
        <w:numPr>
          <w:ilvl w:val="0"/>
          <w:numId w:val="21"/>
        </w:numPr>
        <w:jc w:val="both"/>
        <w:rPr>
          <w:spacing w:val="-2"/>
          <w:sz w:val="28"/>
          <w:szCs w:val="28"/>
          <w:lang w:val="uk-UA"/>
        </w:rPr>
      </w:pPr>
      <w:r>
        <w:rPr>
          <w:spacing w:val="-2"/>
          <w:sz w:val="28"/>
          <w:szCs w:val="28"/>
          <w:lang w:val="uk-UA"/>
        </w:rPr>
        <w:t>меблів для офісів дерев’яних на 30,8%;</w:t>
      </w:r>
    </w:p>
    <w:p w:rsidR="00143BBA" w:rsidRDefault="00143BBA" w:rsidP="00980262">
      <w:pPr>
        <w:pStyle w:val="ListParagraph"/>
        <w:numPr>
          <w:ilvl w:val="0"/>
          <w:numId w:val="20"/>
        </w:numPr>
        <w:ind w:left="0" w:firstLine="1080"/>
        <w:jc w:val="both"/>
        <w:rPr>
          <w:spacing w:val="-2"/>
          <w:sz w:val="28"/>
          <w:szCs w:val="28"/>
          <w:lang w:val="uk-UA"/>
        </w:rPr>
      </w:pPr>
      <w:r>
        <w:rPr>
          <w:spacing w:val="-2"/>
          <w:sz w:val="28"/>
          <w:szCs w:val="28"/>
          <w:lang w:val="uk-UA"/>
        </w:rPr>
        <w:t xml:space="preserve">меблів металевих (крім меблів офісних, медичних, хірургічних, стоматологічних або ветеринарних, перукарських та спеціальних для монтування </w:t>
      </w:r>
      <w:r>
        <w:rPr>
          <w:spacing w:val="-2"/>
          <w:sz w:val="28"/>
          <w:szCs w:val="28"/>
          <w:lang w:val="en-US"/>
        </w:rPr>
        <w:t>hi</w:t>
      </w:r>
      <w:r>
        <w:rPr>
          <w:spacing w:val="-2"/>
          <w:sz w:val="28"/>
          <w:szCs w:val="28"/>
          <w:lang w:val="uk-UA"/>
        </w:rPr>
        <w:t xml:space="preserve"> – </w:t>
      </w:r>
      <w:r>
        <w:rPr>
          <w:spacing w:val="-2"/>
          <w:sz w:val="28"/>
          <w:szCs w:val="28"/>
          <w:lang w:val="en-US"/>
        </w:rPr>
        <w:t>fi</w:t>
      </w:r>
      <w:r>
        <w:rPr>
          <w:spacing w:val="-2"/>
          <w:sz w:val="28"/>
          <w:szCs w:val="28"/>
          <w:lang w:val="uk-UA"/>
        </w:rPr>
        <w:t xml:space="preserve"> аудіо-, відео-, та телевізійних систем) на 9,4 %.</w:t>
      </w:r>
    </w:p>
    <w:p w:rsidR="00143BBA" w:rsidRDefault="00143BBA" w:rsidP="006D67A0">
      <w:pPr>
        <w:pStyle w:val="ListParagraph"/>
        <w:tabs>
          <w:tab w:val="left" w:pos="770"/>
          <w:tab w:val="left" w:pos="990"/>
        </w:tabs>
        <w:ind w:left="0" w:firstLine="567"/>
        <w:jc w:val="both"/>
        <w:rPr>
          <w:spacing w:val="-16"/>
          <w:sz w:val="28"/>
          <w:szCs w:val="28"/>
          <w:lang w:val="uk-UA"/>
        </w:rPr>
      </w:pPr>
      <w:r>
        <w:rPr>
          <w:spacing w:val="-16"/>
          <w:sz w:val="28"/>
          <w:szCs w:val="28"/>
          <w:lang w:val="uk-UA"/>
        </w:rPr>
        <w:t>У виробництві основних фармацевтичних продуктів і фармацевтичних препаратів збільшено випуск:</w:t>
      </w:r>
    </w:p>
    <w:p w:rsidR="00143BBA" w:rsidRDefault="00143BBA" w:rsidP="00980262">
      <w:pPr>
        <w:pStyle w:val="ListParagraph"/>
        <w:numPr>
          <w:ilvl w:val="0"/>
          <w:numId w:val="22"/>
        </w:numPr>
        <w:tabs>
          <w:tab w:val="left" w:pos="770"/>
          <w:tab w:val="left" w:pos="990"/>
        </w:tabs>
        <w:ind w:left="0" w:firstLine="1069"/>
        <w:jc w:val="both"/>
        <w:rPr>
          <w:spacing w:val="-16"/>
          <w:sz w:val="28"/>
          <w:szCs w:val="28"/>
          <w:lang w:val="uk-UA"/>
        </w:rPr>
      </w:pPr>
      <w:r>
        <w:rPr>
          <w:spacing w:val="-16"/>
          <w:sz w:val="28"/>
          <w:szCs w:val="28"/>
          <w:lang w:val="uk-UA"/>
        </w:rPr>
        <w:t>препаратів лікарських, що містять інші антибіотики, розфасованих для роздрібного продажу на 11,8%;</w:t>
      </w:r>
    </w:p>
    <w:p w:rsidR="00143BBA" w:rsidRDefault="00143BBA" w:rsidP="00980262">
      <w:pPr>
        <w:pStyle w:val="ListParagraph"/>
        <w:numPr>
          <w:ilvl w:val="0"/>
          <w:numId w:val="22"/>
        </w:numPr>
        <w:tabs>
          <w:tab w:val="left" w:pos="770"/>
          <w:tab w:val="left" w:pos="990"/>
        </w:tabs>
        <w:ind w:left="0" w:firstLine="1069"/>
        <w:jc w:val="both"/>
        <w:rPr>
          <w:spacing w:val="-16"/>
          <w:sz w:val="28"/>
          <w:szCs w:val="28"/>
          <w:lang w:val="uk-UA"/>
        </w:rPr>
      </w:pPr>
      <w:r>
        <w:rPr>
          <w:spacing w:val="-16"/>
          <w:sz w:val="28"/>
          <w:szCs w:val="28"/>
          <w:lang w:val="uk-UA"/>
        </w:rPr>
        <w:t>препаратів лікарських, що містять кортикостероїдні гормони, їх похідні та структурні аналоги, і не містять антибіотиків, для терапевтичного або профілактичного застосування, в дозованому вигляді чи розфасовані для роздрібного продажу на 14,4%.</w:t>
      </w:r>
    </w:p>
    <w:p w:rsidR="00143BBA" w:rsidRDefault="00143BBA" w:rsidP="006D67A0">
      <w:pPr>
        <w:pStyle w:val="ListParagraph"/>
        <w:tabs>
          <w:tab w:val="left" w:pos="567"/>
          <w:tab w:val="left" w:pos="709"/>
          <w:tab w:val="left" w:pos="770"/>
          <w:tab w:val="left" w:pos="851"/>
          <w:tab w:val="left" w:pos="990"/>
        </w:tabs>
        <w:ind w:left="0" w:firstLine="567"/>
        <w:jc w:val="both"/>
        <w:rPr>
          <w:spacing w:val="-2"/>
          <w:sz w:val="28"/>
          <w:szCs w:val="28"/>
          <w:lang w:val="uk-UA"/>
        </w:rPr>
      </w:pPr>
      <w:r>
        <w:rPr>
          <w:spacing w:val="-2"/>
          <w:sz w:val="28"/>
          <w:szCs w:val="28"/>
          <w:lang w:val="uk-UA"/>
        </w:rPr>
        <w:t>Дані щодо виробництва найважливіших видів промислової продукції по</w:t>
      </w:r>
      <w:r>
        <w:rPr>
          <w:spacing w:val="-2"/>
          <w:sz w:val="28"/>
          <w:szCs w:val="28"/>
          <w:lang w:val="uk-UA"/>
        </w:rPr>
        <w:br/>
        <w:t>м. Харкову приведені у додатку 1.</w:t>
      </w:r>
    </w:p>
    <w:p w:rsidR="00143BBA" w:rsidRDefault="00143BBA" w:rsidP="008D7D94">
      <w:pPr>
        <w:jc w:val="both"/>
        <w:rPr>
          <w:b/>
          <w:sz w:val="28"/>
          <w:szCs w:val="28"/>
          <w:lang w:val="uk-UA"/>
        </w:rPr>
      </w:pPr>
    </w:p>
    <w:p w:rsidR="00143BBA" w:rsidRPr="001704C2" w:rsidRDefault="00143BBA" w:rsidP="008D7D94">
      <w:pPr>
        <w:jc w:val="both"/>
        <w:rPr>
          <w:b/>
          <w:sz w:val="28"/>
          <w:lang w:val="uk-UA"/>
        </w:rPr>
      </w:pPr>
      <w:r w:rsidRPr="001704C2">
        <w:rPr>
          <w:b/>
          <w:sz w:val="28"/>
          <w:lang w:val="uk-UA"/>
        </w:rPr>
        <w:t>Розділ I</w:t>
      </w:r>
      <w:r>
        <w:rPr>
          <w:b/>
          <w:sz w:val="28"/>
          <w:lang w:val="en-US"/>
        </w:rPr>
        <w:t>V</w:t>
      </w:r>
      <w:r w:rsidRPr="001704C2">
        <w:rPr>
          <w:b/>
          <w:sz w:val="28"/>
          <w:lang w:val="uk-UA"/>
        </w:rPr>
        <w:t xml:space="preserve"> «Споживчий ринок товарів та послуг»</w:t>
      </w:r>
      <w:r>
        <w:rPr>
          <w:b/>
          <w:sz w:val="28"/>
          <w:lang w:val="uk-UA"/>
        </w:rPr>
        <w:t>.</w:t>
      </w:r>
    </w:p>
    <w:p w:rsidR="00143BBA" w:rsidRPr="001704C2" w:rsidRDefault="00143BBA" w:rsidP="008D7D94">
      <w:pPr>
        <w:ind w:firstLine="709"/>
        <w:jc w:val="both"/>
        <w:rPr>
          <w:sz w:val="28"/>
          <w:lang w:val="uk-UA"/>
        </w:rPr>
      </w:pPr>
      <w:r w:rsidRPr="001704C2">
        <w:rPr>
          <w:sz w:val="28"/>
          <w:lang w:val="uk-UA"/>
        </w:rPr>
        <w:t>Споживчий ринок є однією із найбільш розвинених галузей економіки, невід’ємною часткою всього міського господарства. Розвиток сфери споживчого ринку формується, як частина загальної програми комплексного соціально-економічного розвитку міста Харкова на 20</w:t>
      </w:r>
      <w:r>
        <w:rPr>
          <w:sz w:val="28"/>
          <w:lang w:val="uk-UA"/>
        </w:rPr>
        <w:t>20</w:t>
      </w:r>
      <w:r w:rsidRPr="001704C2">
        <w:rPr>
          <w:sz w:val="28"/>
          <w:lang w:val="uk-UA"/>
        </w:rPr>
        <w:t xml:space="preserve"> рік. </w:t>
      </w:r>
    </w:p>
    <w:p w:rsidR="00143BBA" w:rsidRPr="001704C2" w:rsidRDefault="00143BBA" w:rsidP="008D7D94">
      <w:pPr>
        <w:tabs>
          <w:tab w:val="left" w:pos="851"/>
        </w:tabs>
        <w:ind w:firstLine="709"/>
        <w:jc w:val="both"/>
        <w:rPr>
          <w:sz w:val="28"/>
          <w:szCs w:val="28"/>
          <w:lang w:val="uk-UA"/>
        </w:rPr>
      </w:pPr>
      <w:r w:rsidRPr="001704C2">
        <w:rPr>
          <w:sz w:val="28"/>
          <w:szCs w:val="28"/>
          <w:lang w:val="uk-UA"/>
        </w:rPr>
        <w:t xml:space="preserve">Споживчий ринок продовжує істотно впливати на підтримку загальноекономічної динаміки </w:t>
      </w:r>
      <w:r>
        <w:rPr>
          <w:sz w:val="28"/>
          <w:szCs w:val="28"/>
          <w:lang w:val="uk-UA"/>
        </w:rPr>
        <w:t xml:space="preserve">розвитку міста Харкова </w:t>
      </w:r>
      <w:r w:rsidRPr="001704C2">
        <w:rPr>
          <w:sz w:val="28"/>
          <w:szCs w:val="28"/>
          <w:lang w:val="uk-UA"/>
        </w:rPr>
        <w:t xml:space="preserve">на певному рівні. У відповідь на споживчі уподобання і зростаючі вимоги споживачів до асортименту, якості та доступності наданої продукції та послуг, збільшується доля сучасних форм торгівлі та обслуговування населення, підвищується рівень конкурентоспроможності, що сприяє прискоренню розвитку роздрібного товарообігу та побутових послуг населенню.  </w:t>
      </w:r>
    </w:p>
    <w:p w:rsidR="00143BBA" w:rsidRPr="001704C2" w:rsidRDefault="00143BBA" w:rsidP="008D7D94">
      <w:pPr>
        <w:tabs>
          <w:tab w:val="left" w:pos="851"/>
        </w:tabs>
        <w:ind w:firstLine="709"/>
        <w:jc w:val="both"/>
        <w:rPr>
          <w:sz w:val="28"/>
          <w:szCs w:val="28"/>
          <w:lang w:val="uk-UA"/>
        </w:rPr>
      </w:pPr>
      <w:r w:rsidRPr="001704C2">
        <w:rPr>
          <w:sz w:val="28"/>
          <w:szCs w:val="28"/>
          <w:lang w:val="uk-UA"/>
        </w:rPr>
        <w:t>Департамент адміністративних послуг та споживчого ринку разом із суб’єктами підприємницької діяльності працював над виконанням рішень сесій міської ради, рішень міськвиконкому, що поставлені перед підприємствами галузей торгівлі, ресторанного господарства, побутового обслуговування щодо безперебійного і якісного обслуговування, надання послуг населенню міста, а саме:</w:t>
      </w:r>
    </w:p>
    <w:p w:rsidR="00143BBA" w:rsidRPr="001704C2" w:rsidRDefault="00143BBA" w:rsidP="008D7D94">
      <w:pPr>
        <w:pStyle w:val="BodyTextIndent"/>
        <w:numPr>
          <w:ilvl w:val="0"/>
          <w:numId w:val="1"/>
        </w:numPr>
      </w:pPr>
      <w:r w:rsidRPr="001704C2">
        <w:t>задоволення споживчого попиту населення на основні види продовольчих та непродовольчих товарів;</w:t>
      </w:r>
    </w:p>
    <w:p w:rsidR="00143BBA" w:rsidRPr="001704C2" w:rsidRDefault="00143BBA" w:rsidP="008D7D94">
      <w:pPr>
        <w:pStyle w:val="BodyTextIndent"/>
        <w:numPr>
          <w:ilvl w:val="0"/>
          <w:numId w:val="1"/>
        </w:numPr>
      </w:pPr>
      <w:r w:rsidRPr="001704C2">
        <w:t>підтримка вітчизняного товаровиробника шляхом проведення виставок, ярмарок;</w:t>
      </w:r>
    </w:p>
    <w:p w:rsidR="00143BBA" w:rsidRPr="001704C2" w:rsidRDefault="00143BBA" w:rsidP="008D7D94">
      <w:pPr>
        <w:pStyle w:val="BodyTextIndent"/>
        <w:numPr>
          <w:ilvl w:val="0"/>
          <w:numId w:val="1"/>
        </w:numPr>
      </w:pPr>
      <w:r w:rsidRPr="001704C2">
        <w:t>упорядкування об’єктів дрібно - роздрібної мережі;</w:t>
      </w:r>
    </w:p>
    <w:p w:rsidR="00143BBA" w:rsidRPr="001704C2" w:rsidRDefault="00143BBA" w:rsidP="008D7D94">
      <w:pPr>
        <w:pStyle w:val="BodyTextIndent"/>
        <w:numPr>
          <w:ilvl w:val="0"/>
          <w:numId w:val="1"/>
        </w:numPr>
      </w:pPr>
      <w:r w:rsidRPr="001704C2">
        <w:t>підтримка малозабезпечених верств населення;</w:t>
      </w:r>
    </w:p>
    <w:p w:rsidR="00143BBA" w:rsidRPr="001704C2" w:rsidRDefault="00143BBA" w:rsidP="008D7D94">
      <w:pPr>
        <w:pStyle w:val="BodyTextIndent"/>
        <w:numPr>
          <w:ilvl w:val="0"/>
          <w:numId w:val="1"/>
        </w:numPr>
      </w:pPr>
      <w:r w:rsidRPr="001704C2">
        <w:t>забезпечення державного захисту прав споживачів, тощо.</w:t>
      </w:r>
    </w:p>
    <w:p w:rsidR="00143BBA" w:rsidRDefault="00143BBA" w:rsidP="008D7D94">
      <w:pPr>
        <w:ind w:firstLine="709"/>
        <w:jc w:val="both"/>
        <w:rPr>
          <w:sz w:val="28"/>
          <w:lang w:val="uk-UA"/>
        </w:rPr>
      </w:pPr>
      <w:r>
        <w:rPr>
          <w:sz w:val="28"/>
          <w:lang w:val="uk-UA"/>
        </w:rPr>
        <w:t xml:space="preserve">Події у світі з початку 2020 року істотно вплинули на сучасний споживчий ринок міста, який переживає певні труднощі, в зв’язку з поширенням на території України гострої респіраторної хвороби </w:t>
      </w:r>
      <w:r>
        <w:rPr>
          <w:sz w:val="28"/>
          <w:lang w:val="en-US"/>
        </w:rPr>
        <w:t>COVID</w:t>
      </w:r>
      <w:r>
        <w:rPr>
          <w:sz w:val="28"/>
          <w:lang w:val="uk-UA"/>
        </w:rPr>
        <w:t>-19.</w:t>
      </w:r>
    </w:p>
    <w:p w:rsidR="00143BBA" w:rsidRPr="00F37E6A" w:rsidRDefault="00143BBA" w:rsidP="007E63B1">
      <w:pPr>
        <w:ind w:firstLine="709"/>
        <w:jc w:val="both"/>
        <w:rPr>
          <w:sz w:val="28"/>
          <w:lang w:val="uk-UA"/>
        </w:rPr>
      </w:pPr>
      <w:r>
        <w:rPr>
          <w:sz w:val="28"/>
          <w:lang w:val="uk-UA"/>
        </w:rPr>
        <w:t xml:space="preserve">Згідно з постановою КМУ від 11.03.2020 №211 «Про запобігання поширенню на території України гострої респіраторної хвороби  </w:t>
      </w:r>
      <w:r>
        <w:rPr>
          <w:sz w:val="28"/>
          <w:lang w:val="en-US"/>
        </w:rPr>
        <w:t>COVID</w:t>
      </w:r>
      <w:r>
        <w:rPr>
          <w:sz w:val="28"/>
          <w:lang w:val="uk-UA"/>
        </w:rPr>
        <w:t xml:space="preserve">-19, спричиненої короно вірусом </w:t>
      </w:r>
      <w:r>
        <w:rPr>
          <w:sz w:val="28"/>
          <w:lang w:val="en-US"/>
        </w:rPr>
        <w:t>SARS</w:t>
      </w:r>
      <w:r w:rsidRPr="002560F2">
        <w:rPr>
          <w:sz w:val="28"/>
          <w:lang w:val="uk-UA"/>
        </w:rPr>
        <w:t>-</w:t>
      </w:r>
      <w:r>
        <w:rPr>
          <w:sz w:val="28"/>
          <w:lang w:val="en-US"/>
        </w:rPr>
        <w:t>CoV</w:t>
      </w:r>
      <w:r w:rsidRPr="002560F2">
        <w:rPr>
          <w:sz w:val="28"/>
          <w:lang w:val="uk-UA"/>
        </w:rPr>
        <w:t>-2</w:t>
      </w:r>
      <w:r>
        <w:rPr>
          <w:sz w:val="28"/>
          <w:lang w:val="uk-UA"/>
        </w:rPr>
        <w:t xml:space="preserve">» (зі змінами та доповненнями), розпорядження Харківського міського голови від 11.03.2020 «№50 (зі змінами та доповненнями), на період карантину заборонено роботу певних підприємств сфери споживчого ринку. Все це вплинуло на обсяги роздрібного товарообігу міста.  </w:t>
      </w:r>
    </w:p>
    <w:p w:rsidR="00143BBA" w:rsidRDefault="00143BBA" w:rsidP="008D7D94">
      <w:pPr>
        <w:ind w:firstLine="709"/>
        <w:jc w:val="both"/>
        <w:rPr>
          <w:sz w:val="28"/>
          <w:lang w:val="uk-UA"/>
        </w:rPr>
      </w:pPr>
      <w:r>
        <w:rPr>
          <w:sz w:val="28"/>
          <w:lang w:val="uk-UA"/>
        </w:rPr>
        <w:t xml:space="preserve">Питома вага заборонених до  продажу товарів складає біля </w:t>
      </w:r>
      <w:r w:rsidRPr="00217359">
        <w:rPr>
          <w:sz w:val="28"/>
        </w:rPr>
        <w:t>3</w:t>
      </w:r>
      <w:r>
        <w:rPr>
          <w:sz w:val="28"/>
          <w:lang w:val="uk-UA"/>
        </w:rPr>
        <w:t>0% загального роздрібного товарообігу по м. Харкову.</w:t>
      </w:r>
    </w:p>
    <w:p w:rsidR="00143BBA" w:rsidRPr="001704C2" w:rsidRDefault="00143BBA" w:rsidP="008D7D94">
      <w:pPr>
        <w:ind w:firstLine="709"/>
        <w:jc w:val="both"/>
        <w:rPr>
          <w:sz w:val="28"/>
          <w:lang w:val="uk-UA"/>
        </w:rPr>
      </w:pPr>
      <w:r w:rsidRPr="001704C2">
        <w:rPr>
          <w:sz w:val="28"/>
          <w:lang w:val="uk-UA"/>
        </w:rPr>
        <w:t xml:space="preserve">За </w:t>
      </w:r>
      <w:r w:rsidRPr="001704C2">
        <w:rPr>
          <w:sz w:val="28"/>
          <w:szCs w:val="28"/>
          <w:lang w:val="uk-UA"/>
        </w:rPr>
        <w:t xml:space="preserve">розрахунковими даними роздрібний товарооборот підприємств (юридичних осіб) м. Харкова, основним видом економічної діяльності яких є роздрібна торгівля, за </w:t>
      </w:r>
      <w:r>
        <w:rPr>
          <w:sz w:val="28"/>
          <w:szCs w:val="28"/>
          <w:lang w:val="en-US"/>
        </w:rPr>
        <w:t>I</w:t>
      </w:r>
      <w:r w:rsidRPr="007E63B1">
        <w:rPr>
          <w:sz w:val="28"/>
          <w:szCs w:val="28"/>
          <w:lang w:val="uk-UA"/>
        </w:rPr>
        <w:t xml:space="preserve"> </w:t>
      </w:r>
      <w:r>
        <w:rPr>
          <w:sz w:val="28"/>
          <w:szCs w:val="28"/>
          <w:lang w:val="uk-UA"/>
        </w:rPr>
        <w:t>квартал 2</w:t>
      </w:r>
      <w:r w:rsidRPr="001704C2">
        <w:rPr>
          <w:sz w:val="28"/>
          <w:szCs w:val="28"/>
          <w:lang w:val="uk-UA"/>
        </w:rPr>
        <w:t>0</w:t>
      </w:r>
      <w:r>
        <w:rPr>
          <w:sz w:val="28"/>
          <w:szCs w:val="28"/>
          <w:lang w:val="uk-UA"/>
        </w:rPr>
        <w:t>20</w:t>
      </w:r>
      <w:r w:rsidRPr="001704C2">
        <w:rPr>
          <w:sz w:val="28"/>
          <w:szCs w:val="28"/>
          <w:lang w:val="uk-UA"/>
        </w:rPr>
        <w:t xml:space="preserve"> р</w:t>
      </w:r>
      <w:r>
        <w:rPr>
          <w:sz w:val="28"/>
          <w:szCs w:val="28"/>
          <w:lang w:val="uk-UA"/>
        </w:rPr>
        <w:t>оку</w:t>
      </w:r>
      <w:r w:rsidRPr="001704C2">
        <w:rPr>
          <w:sz w:val="28"/>
          <w:szCs w:val="28"/>
          <w:lang w:val="uk-UA"/>
        </w:rPr>
        <w:t xml:space="preserve"> складе </w:t>
      </w:r>
      <w:r>
        <w:rPr>
          <w:sz w:val="28"/>
          <w:szCs w:val="28"/>
          <w:lang w:val="uk-UA"/>
        </w:rPr>
        <w:t>11,4</w:t>
      </w:r>
      <w:r w:rsidRPr="001704C2">
        <w:rPr>
          <w:sz w:val="28"/>
          <w:szCs w:val="28"/>
          <w:lang w:val="uk-UA"/>
        </w:rPr>
        <w:t xml:space="preserve"> </w:t>
      </w:r>
      <w:r>
        <w:rPr>
          <w:sz w:val="28"/>
          <w:szCs w:val="28"/>
          <w:lang w:val="uk-UA"/>
        </w:rPr>
        <w:t>млрд</w:t>
      </w:r>
      <w:r w:rsidRPr="001704C2">
        <w:rPr>
          <w:sz w:val="28"/>
          <w:szCs w:val="28"/>
          <w:lang w:val="uk-UA"/>
        </w:rPr>
        <w:t xml:space="preserve"> грн</w:t>
      </w:r>
      <w:r>
        <w:rPr>
          <w:sz w:val="28"/>
          <w:szCs w:val="28"/>
          <w:lang w:val="uk-UA"/>
        </w:rPr>
        <w:t>.</w:t>
      </w:r>
      <w:r w:rsidRPr="001704C2">
        <w:rPr>
          <w:sz w:val="28"/>
          <w:lang w:val="uk-UA"/>
        </w:rPr>
        <w:t xml:space="preserve"> Темп росту у порівняних цінах</w:t>
      </w:r>
      <w:r>
        <w:rPr>
          <w:sz w:val="28"/>
          <w:lang w:val="uk-UA"/>
        </w:rPr>
        <w:t xml:space="preserve"> з аналогічним періодом 2019 року </w:t>
      </w:r>
      <w:r w:rsidRPr="001704C2">
        <w:rPr>
          <w:sz w:val="28"/>
          <w:lang w:val="uk-UA"/>
        </w:rPr>
        <w:t xml:space="preserve">– </w:t>
      </w:r>
      <w:r>
        <w:rPr>
          <w:sz w:val="28"/>
          <w:lang w:val="uk-UA"/>
        </w:rPr>
        <w:t>0</w:t>
      </w:r>
      <w:r w:rsidRPr="001704C2">
        <w:rPr>
          <w:sz w:val="28"/>
          <w:lang w:val="uk-UA"/>
        </w:rPr>
        <w:t>,</w:t>
      </w:r>
      <w:r>
        <w:rPr>
          <w:sz w:val="28"/>
          <w:lang w:val="uk-UA"/>
        </w:rPr>
        <w:t>3</w:t>
      </w:r>
      <w:r w:rsidRPr="001704C2">
        <w:rPr>
          <w:sz w:val="28"/>
          <w:lang w:val="uk-UA"/>
        </w:rPr>
        <w:t>%</w:t>
      </w:r>
      <w:r>
        <w:rPr>
          <w:sz w:val="28"/>
          <w:lang w:val="uk-UA"/>
        </w:rPr>
        <w:t xml:space="preserve">. </w:t>
      </w:r>
      <w:r w:rsidRPr="001704C2">
        <w:rPr>
          <w:sz w:val="28"/>
          <w:lang w:val="uk-UA"/>
        </w:rPr>
        <w:t>Реалізація товарів на одного мешканця –</w:t>
      </w:r>
      <w:r>
        <w:rPr>
          <w:sz w:val="28"/>
          <w:lang w:val="uk-UA"/>
        </w:rPr>
        <w:t>7922</w:t>
      </w:r>
      <w:r w:rsidRPr="001704C2">
        <w:rPr>
          <w:b/>
          <w:sz w:val="28"/>
          <w:lang w:val="uk-UA"/>
        </w:rPr>
        <w:t xml:space="preserve"> </w:t>
      </w:r>
      <w:r w:rsidRPr="001704C2">
        <w:rPr>
          <w:sz w:val="28"/>
          <w:lang w:val="uk-UA"/>
        </w:rPr>
        <w:t>грн</w:t>
      </w:r>
      <w:r>
        <w:rPr>
          <w:sz w:val="28"/>
          <w:lang w:val="uk-UA"/>
        </w:rPr>
        <w:t>.</w:t>
      </w:r>
      <w:r w:rsidRPr="001704C2">
        <w:rPr>
          <w:sz w:val="28"/>
          <w:lang w:val="uk-UA"/>
        </w:rPr>
        <w:t xml:space="preserve"> При цьому, пред’явлений попит населення повністю забезпечений пропозиціями основних видів споживчих товарів</w:t>
      </w:r>
      <w:r>
        <w:rPr>
          <w:sz w:val="28"/>
          <w:lang w:val="uk-UA"/>
        </w:rPr>
        <w:t>.</w:t>
      </w:r>
      <w:r w:rsidRPr="001704C2">
        <w:rPr>
          <w:sz w:val="28"/>
          <w:lang w:val="uk-UA"/>
        </w:rPr>
        <w:t xml:space="preserve"> </w:t>
      </w:r>
    </w:p>
    <w:p w:rsidR="00143BBA" w:rsidRPr="001704C2" w:rsidRDefault="00143BBA" w:rsidP="008D7D94">
      <w:pPr>
        <w:pStyle w:val="BodyTextIndent"/>
        <w:ind w:firstLine="709"/>
      </w:pPr>
      <w:r>
        <w:t xml:space="preserve"> </w:t>
      </w:r>
      <w:r w:rsidRPr="00A51A5E">
        <w:t>О</w:t>
      </w:r>
      <w:r w:rsidRPr="001704C2">
        <w:t>дним із важливих напрямків Програми соціального та економічного розвитку м. Харкова є сприяння насиченню споживчого ринку продовольчими та промисловими товарами, посилення їх конкурентоспроможності, розширення асортименту товарів, які реалізуються, збільшення обсягів виробництва, зниження цін на товари.</w:t>
      </w:r>
    </w:p>
    <w:p w:rsidR="00143BBA" w:rsidRPr="001704C2" w:rsidRDefault="00143BBA" w:rsidP="008D7D94">
      <w:pPr>
        <w:ind w:firstLine="708"/>
        <w:jc w:val="both"/>
        <w:rPr>
          <w:sz w:val="28"/>
          <w:szCs w:val="28"/>
          <w:lang w:val="uk-UA"/>
        </w:rPr>
      </w:pPr>
      <w:r w:rsidRPr="001704C2">
        <w:rPr>
          <w:sz w:val="28"/>
          <w:szCs w:val="28"/>
          <w:lang w:val="uk-UA"/>
        </w:rPr>
        <w:t xml:space="preserve">З цією метою продовжувалася робота щодо організації та проведення виставкових заходів. Спільно з фірмами, які організовують виставкову діяльність, у місті було проведено </w:t>
      </w:r>
      <w:r>
        <w:rPr>
          <w:sz w:val="28"/>
          <w:szCs w:val="28"/>
          <w:lang w:val="uk-UA"/>
        </w:rPr>
        <w:t>14</w:t>
      </w:r>
      <w:r w:rsidRPr="001704C2">
        <w:rPr>
          <w:sz w:val="28"/>
          <w:szCs w:val="28"/>
          <w:lang w:val="uk-UA"/>
        </w:rPr>
        <w:t xml:space="preserve"> виставково-ярмаркових заход</w:t>
      </w:r>
      <w:r>
        <w:rPr>
          <w:sz w:val="28"/>
          <w:szCs w:val="28"/>
          <w:lang w:val="uk-UA"/>
        </w:rPr>
        <w:t>ів</w:t>
      </w:r>
      <w:r w:rsidRPr="001704C2">
        <w:rPr>
          <w:sz w:val="28"/>
          <w:szCs w:val="28"/>
          <w:lang w:val="uk-UA"/>
        </w:rPr>
        <w:t xml:space="preserve">, в яких </w:t>
      </w:r>
      <w:r>
        <w:rPr>
          <w:sz w:val="28"/>
          <w:szCs w:val="28"/>
          <w:lang w:val="uk-UA"/>
        </w:rPr>
        <w:t>взяли</w:t>
      </w:r>
      <w:r w:rsidRPr="001704C2">
        <w:rPr>
          <w:sz w:val="28"/>
          <w:szCs w:val="28"/>
          <w:lang w:val="uk-UA"/>
        </w:rPr>
        <w:t xml:space="preserve"> участь </w:t>
      </w:r>
      <w:r>
        <w:rPr>
          <w:sz w:val="28"/>
          <w:szCs w:val="28"/>
          <w:lang w:val="uk-UA"/>
        </w:rPr>
        <w:t>961</w:t>
      </w:r>
      <w:r w:rsidRPr="001704C2">
        <w:rPr>
          <w:sz w:val="28"/>
          <w:szCs w:val="28"/>
          <w:lang w:val="uk-UA"/>
        </w:rPr>
        <w:t xml:space="preserve"> учасник:</w:t>
      </w:r>
    </w:p>
    <w:p w:rsidR="00143BBA" w:rsidRPr="001704C2" w:rsidRDefault="00143BBA" w:rsidP="008D7D94">
      <w:pPr>
        <w:pStyle w:val="ListParagraph"/>
        <w:numPr>
          <w:ilvl w:val="0"/>
          <w:numId w:val="2"/>
        </w:numPr>
        <w:jc w:val="both"/>
        <w:rPr>
          <w:sz w:val="28"/>
          <w:szCs w:val="28"/>
          <w:lang w:val="uk-UA"/>
        </w:rPr>
      </w:pPr>
      <w:r w:rsidRPr="001704C2">
        <w:rPr>
          <w:sz w:val="28"/>
          <w:szCs w:val="28"/>
          <w:lang w:val="uk-UA"/>
        </w:rPr>
        <w:t xml:space="preserve">спеціалізованих виставок - </w:t>
      </w:r>
      <w:r>
        <w:rPr>
          <w:sz w:val="28"/>
          <w:szCs w:val="28"/>
          <w:lang w:val="uk-UA"/>
        </w:rPr>
        <w:t>6</w:t>
      </w:r>
      <w:r w:rsidRPr="001704C2">
        <w:rPr>
          <w:sz w:val="28"/>
          <w:szCs w:val="28"/>
          <w:lang w:val="uk-UA"/>
        </w:rPr>
        <w:t>;</w:t>
      </w:r>
    </w:p>
    <w:p w:rsidR="00143BBA" w:rsidRPr="001704C2" w:rsidRDefault="00143BBA" w:rsidP="008D7D94">
      <w:pPr>
        <w:pStyle w:val="ListParagraph"/>
        <w:numPr>
          <w:ilvl w:val="0"/>
          <w:numId w:val="2"/>
        </w:numPr>
        <w:jc w:val="both"/>
        <w:rPr>
          <w:sz w:val="28"/>
          <w:szCs w:val="28"/>
          <w:lang w:val="uk-UA"/>
        </w:rPr>
      </w:pPr>
      <w:r w:rsidRPr="001704C2">
        <w:rPr>
          <w:sz w:val="28"/>
          <w:szCs w:val="28"/>
          <w:lang w:val="uk-UA"/>
        </w:rPr>
        <w:t xml:space="preserve">універсальних виставок - </w:t>
      </w:r>
      <w:r>
        <w:rPr>
          <w:sz w:val="28"/>
          <w:szCs w:val="28"/>
          <w:lang w:val="uk-UA"/>
        </w:rPr>
        <w:t>7</w:t>
      </w:r>
      <w:r w:rsidRPr="001704C2">
        <w:rPr>
          <w:sz w:val="28"/>
          <w:szCs w:val="28"/>
          <w:lang w:val="uk-UA"/>
        </w:rPr>
        <w:t>;</w:t>
      </w:r>
    </w:p>
    <w:p w:rsidR="00143BBA" w:rsidRPr="001704C2" w:rsidRDefault="00143BBA" w:rsidP="008D7D94">
      <w:pPr>
        <w:pStyle w:val="ListParagraph"/>
        <w:numPr>
          <w:ilvl w:val="0"/>
          <w:numId w:val="2"/>
        </w:numPr>
        <w:jc w:val="both"/>
        <w:rPr>
          <w:sz w:val="28"/>
          <w:szCs w:val="28"/>
          <w:lang w:val="uk-UA"/>
        </w:rPr>
      </w:pPr>
      <w:r w:rsidRPr="001704C2">
        <w:rPr>
          <w:sz w:val="28"/>
          <w:szCs w:val="28"/>
          <w:lang w:val="uk-UA"/>
        </w:rPr>
        <w:t>ярмарків –</w:t>
      </w:r>
      <w:r w:rsidRPr="001704C2">
        <w:rPr>
          <w:b/>
          <w:sz w:val="28"/>
          <w:szCs w:val="28"/>
          <w:lang w:val="uk-UA"/>
        </w:rPr>
        <w:t xml:space="preserve"> </w:t>
      </w:r>
      <w:r w:rsidRPr="00887447">
        <w:rPr>
          <w:sz w:val="28"/>
          <w:szCs w:val="28"/>
          <w:lang w:val="uk-UA"/>
        </w:rPr>
        <w:t>1</w:t>
      </w:r>
      <w:r w:rsidRPr="00407BBA">
        <w:rPr>
          <w:sz w:val="28"/>
          <w:szCs w:val="28"/>
          <w:lang w:val="uk-UA"/>
        </w:rPr>
        <w:t>.</w:t>
      </w:r>
    </w:p>
    <w:p w:rsidR="00143BBA" w:rsidRPr="001704C2" w:rsidRDefault="00143BBA" w:rsidP="008D7D94">
      <w:pPr>
        <w:ind w:firstLine="709"/>
        <w:jc w:val="both"/>
        <w:rPr>
          <w:sz w:val="28"/>
          <w:szCs w:val="28"/>
          <w:lang w:val="uk-UA"/>
        </w:rPr>
      </w:pPr>
      <w:r w:rsidRPr="001704C2">
        <w:rPr>
          <w:sz w:val="28"/>
          <w:szCs w:val="28"/>
          <w:lang w:val="uk-UA"/>
        </w:rPr>
        <w:t xml:space="preserve">Постійно проводилась організаційна робота щодо залучення промислових підприємств міста (легкої, харчової та переробної промисловості) до участі </w:t>
      </w:r>
      <w:r>
        <w:rPr>
          <w:sz w:val="28"/>
          <w:szCs w:val="28"/>
          <w:lang w:val="uk-UA"/>
        </w:rPr>
        <w:t xml:space="preserve">у </w:t>
      </w:r>
      <w:r w:rsidRPr="001704C2">
        <w:rPr>
          <w:sz w:val="28"/>
          <w:szCs w:val="28"/>
          <w:lang w:val="uk-UA"/>
        </w:rPr>
        <w:t xml:space="preserve">виставково-промислових ярмарках, що відбувались в Україні. </w:t>
      </w:r>
    </w:p>
    <w:p w:rsidR="00143BBA" w:rsidRPr="001704C2" w:rsidRDefault="00143BBA" w:rsidP="008D7D94">
      <w:pPr>
        <w:ind w:firstLine="708"/>
        <w:jc w:val="both"/>
        <w:rPr>
          <w:sz w:val="28"/>
          <w:lang w:val="uk-UA"/>
        </w:rPr>
      </w:pPr>
      <w:r w:rsidRPr="001704C2">
        <w:rPr>
          <w:sz w:val="28"/>
          <w:lang w:val="uk-UA"/>
        </w:rPr>
        <w:t xml:space="preserve">З метою більш повного насичення споживчого ринку продовольчими товарами, посилення їх конкурентоспроможності, розширення асортименту реалізованих товарів, збільшення обсягів виробництва, у місті відкриваються нові малі підприємства переробної та харчової промисловості та модернізується устаткування на вже працюючих об’єктах. Станом на </w:t>
      </w:r>
      <w:r>
        <w:rPr>
          <w:sz w:val="28"/>
          <w:lang w:val="uk-UA"/>
        </w:rPr>
        <w:t>01.</w:t>
      </w:r>
      <w:r w:rsidRPr="00BD111A">
        <w:rPr>
          <w:sz w:val="28"/>
          <w:lang w:val="uk-UA"/>
        </w:rPr>
        <w:t>0</w:t>
      </w:r>
      <w:r>
        <w:rPr>
          <w:sz w:val="28"/>
          <w:lang w:val="uk-UA"/>
        </w:rPr>
        <w:t>4</w:t>
      </w:r>
      <w:r w:rsidRPr="00BD111A">
        <w:rPr>
          <w:sz w:val="28"/>
          <w:lang w:val="uk-UA"/>
        </w:rPr>
        <w:t xml:space="preserve">.2020 у м. Харкові функціонує </w:t>
      </w:r>
      <w:r w:rsidRPr="00887447">
        <w:rPr>
          <w:sz w:val="28"/>
          <w:lang w:val="uk-UA"/>
        </w:rPr>
        <w:t>66</w:t>
      </w:r>
      <w:r w:rsidRPr="00BD111A">
        <w:rPr>
          <w:sz w:val="28"/>
          <w:lang w:val="uk-UA"/>
        </w:rPr>
        <w:t xml:space="preserve"> міні-підприємств, у т. ч. з виробництва хлібобулочних виробів –</w:t>
      </w:r>
      <w:r w:rsidRPr="00887447">
        <w:rPr>
          <w:b/>
          <w:sz w:val="28"/>
          <w:lang w:val="uk-UA"/>
        </w:rPr>
        <w:t xml:space="preserve"> </w:t>
      </w:r>
      <w:r w:rsidRPr="00887447">
        <w:rPr>
          <w:sz w:val="28"/>
          <w:lang w:val="uk-UA"/>
        </w:rPr>
        <w:t>10</w:t>
      </w:r>
      <w:r w:rsidRPr="00BD111A">
        <w:rPr>
          <w:sz w:val="28"/>
          <w:lang w:val="uk-UA"/>
        </w:rPr>
        <w:t xml:space="preserve"> од.; ковбасних виробів, виробів з риби та напівфабрикатів – </w:t>
      </w:r>
      <w:r w:rsidRPr="00887447">
        <w:rPr>
          <w:sz w:val="28"/>
          <w:lang w:val="uk-UA"/>
        </w:rPr>
        <w:t>5</w:t>
      </w:r>
      <w:r w:rsidRPr="00BD111A">
        <w:rPr>
          <w:sz w:val="28"/>
          <w:lang w:val="uk-UA"/>
        </w:rPr>
        <w:t xml:space="preserve"> од.; макаронних виробів – </w:t>
      </w:r>
      <w:r w:rsidRPr="00887447">
        <w:rPr>
          <w:sz w:val="28"/>
          <w:lang w:val="uk-UA"/>
        </w:rPr>
        <w:t>5</w:t>
      </w:r>
      <w:r w:rsidRPr="00BD111A">
        <w:rPr>
          <w:sz w:val="28"/>
          <w:lang w:val="uk-UA"/>
        </w:rPr>
        <w:t xml:space="preserve"> од.; кулінарних, кондитерських виробів, заготівельних цехів випічних виробів, пивоварних цехів – </w:t>
      </w:r>
      <w:r w:rsidRPr="006F09CD">
        <w:rPr>
          <w:sz w:val="28"/>
          <w:lang w:val="uk-UA"/>
        </w:rPr>
        <w:t>39</w:t>
      </w:r>
      <w:r w:rsidRPr="00BD111A">
        <w:rPr>
          <w:sz w:val="28"/>
          <w:lang w:val="uk-UA"/>
        </w:rPr>
        <w:t xml:space="preserve"> од.; безалкогольних напоїв – </w:t>
      </w:r>
      <w:r w:rsidRPr="006F09CD">
        <w:rPr>
          <w:sz w:val="28"/>
          <w:lang w:val="uk-UA"/>
        </w:rPr>
        <w:t>1</w:t>
      </w:r>
      <w:r w:rsidRPr="00BD111A">
        <w:rPr>
          <w:sz w:val="28"/>
          <w:lang w:val="uk-UA"/>
        </w:rPr>
        <w:t xml:space="preserve"> од.; інших продуктів харчування –   </w:t>
      </w:r>
      <w:r w:rsidRPr="006F09CD">
        <w:rPr>
          <w:sz w:val="28"/>
          <w:lang w:val="uk-UA"/>
        </w:rPr>
        <w:t xml:space="preserve">6 </w:t>
      </w:r>
      <w:r w:rsidRPr="00BD111A">
        <w:rPr>
          <w:sz w:val="28"/>
          <w:lang w:val="uk-UA"/>
        </w:rPr>
        <w:t>од.</w:t>
      </w:r>
      <w:r w:rsidRPr="001704C2">
        <w:rPr>
          <w:sz w:val="28"/>
          <w:lang w:val="uk-UA"/>
        </w:rPr>
        <w:t xml:space="preserve">  </w:t>
      </w:r>
    </w:p>
    <w:p w:rsidR="00143BBA" w:rsidRPr="001704C2" w:rsidRDefault="00143BBA" w:rsidP="008D7D94">
      <w:pPr>
        <w:ind w:firstLine="709"/>
        <w:jc w:val="both"/>
        <w:rPr>
          <w:sz w:val="28"/>
          <w:lang w:val="uk-UA"/>
        </w:rPr>
      </w:pPr>
      <w:r w:rsidRPr="001704C2">
        <w:rPr>
          <w:sz w:val="28"/>
          <w:lang w:val="uk-UA"/>
        </w:rPr>
        <w:t>Станом на 01.</w:t>
      </w:r>
      <w:r>
        <w:rPr>
          <w:sz w:val="28"/>
          <w:lang w:val="uk-UA"/>
        </w:rPr>
        <w:t>04</w:t>
      </w:r>
      <w:r w:rsidRPr="001704C2">
        <w:rPr>
          <w:sz w:val="28"/>
          <w:lang w:val="uk-UA"/>
        </w:rPr>
        <w:t>.20</w:t>
      </w:r>
      <w:r>
        <w:rPr>
          <w:sz w:val="28"/>
          <w:lang w:val="uk-UA"/>
        </w:rPr>
        <w:t>20</w:t>
      </w:r>
      <w:r w:rsidRPr="001704C2">
        <w:rPr>
          <w:sz w:val="28"/>
          <w:lang w:val="uk-UA"/>
        </w:rPr>
        <w:t xml:space="preserve">  населення міста обслуговують</w:t>
      </w:r>
      <w:r>
        <w:rPr>
          <w:sz w:val="28"/>
          <w:lang w:val="uk-UA"/>
        </w:rPr>
        <w:t xml:space="preserve"> </w:t>
      </w:r>
      <w:r w:rsidRPr="001704C2">
        <w:rPr>
          <w:sz w:val="28"/>
          <w:lang w:val="uk-UA"/>
        </w:rPr>
        <w:t>:</w:t>
      </w:r>
    </w:p>
    <w:p w:rsidR="00143BBA" w:rsidRPr="001704C2" w:rsidRDefault="00143BBA" w:rsidP="008D7D94">
      <w:pPr>
        <w:numPr>
          <w:ilvl w:val="0"/>
          <w:numId w:val="1"/>
        </w:numPr>
        <w:jc w:val="both"/>
        <w:rPr>
          <w:sz w:val="28"/>
          <w:lang w:val="uk-UA"/>
        </w:rPr>
      </w:pPr>
      <w:r w:rsidRPr="001704C2">
        <w:rPr>
          <w:sz w:val="28"/>
          <w:lang w:val="uk-UA"/>
        </w:rPr>
        <w:t>підприє</w:t>
      </w:r>
      <w:r>
        <w:rPr>
          <w:sz w:val="28"/>
          <w:lang w:val="uk-UA"/>
        </w:rPr>
        <w:t xml:space="preserve">мств торгівлі (магазинів) – </w:t>
      </w:r>
      <w:r w:rsidRPr="003F690B">
        <w:rPr>
          <w:sz w:val="28"/>
          <w:lang w:val="uk-UA"/>
        </w:rPr>
        <w:t>32</w:t>
      </w:r>
      <w:r>
        <w:rPr>
          <w:sz w:val="28"/>
          <w:lang w:val="uk-UA"/>
        </w:rPr>
        <w:t>76</w:t>
      </w:r>
      <w:r w:rsidRPr="00704795">
        <w:rPr>
          <w:b/>
          <w:sz w:val="28"/>
          <w:lang w:val="uk-UA"/>
        </w:rPr>
        <w:t xml:space="preserve"> </w:t>
      </w:r>
      <w:r w:rsidRPr="001704C2">
        <w:rPr>
          <w:sz w:val="28"/>
          <w:lang w:val="uk-UA"/>
        </w:rPr>
        <w:t>од.</w:t>
      </w:r>
      <w:r>
        <w:rPr>
          <w:sz w:val="28"/>
          <w:lang w:val="uk-UA"/>
        </w:rPr>
        <w:t xml:space="preserve"> (</w:t>
      </w:r>
      <w:r>
        <w:rPr>
          <w:sz w:val="28"/>
          <w:lang w:val="en-US"/>
        </w:rPr>
        <w:t>I</w:t>
      </w:r>
      <w:r>
        <w:rPr>
          <w:sz w:val="28"/>
          <w:lang w:val="uk-UA"/>
        </w:rPr>
        <w:t xml:space="preserve"> кв. 2019 р. – 3239 од.)</w:t>
      </w:r>
      <w:r w:rsidRPr="001704C2">
        <w:rPr>
          <w:sz w:val="28"/>
          <w:lang w:val="uk-UA"/>
        </w:rPr>
        <w:t>;</w:t>
      </w:r>
    </w:p>
    <w:p w:rsidR="00143BBA" w:rsidRPr="001704C2" w:rsidRDefault="00143BBA" w:rsidP="008D7D94">
      <w:pPr>
        <w:numPr>
          <w:ilvl w:val="0"/>
          <w:numId w:val="1"/>
        </w:numPr>
        <w:jc w:val="both"/>
        <w:rPr>
          <w:sz w:val="28"/>
          <w:lang w:val="uk-UA"/>
        </w:rPr>
      </w:pPr>
      <w:r w:rsidRPr="001704C2">
        <w:rPr>
          <w:sz w:val="28"/>
          <w:lang w:val="uk-UA"/>
        </w:rPr>
        <w:t xml:space="preserve">підприємств ресторанного господарства – </w:t>
      </w:r>
      <w:r w:rsidRPr="003F690B">
        <w:rPr>
          <w:sz w:val="28"/>
          <w:lang w:val="uk-UA"/>
        </w:rPr>
        <w:t>29</w:t>
      </w:r>
      <w:r>
        <w:rPr>
          <w:sz w:val="28"/>
          <w:lang w:val="uk-UA"/>
        </w:rPr>
        <w:t xml:space="preserve">39 </w:t>
      </w:r>
      <w:r w:rsidRPr="001704C2">
        <w:rPr>
          <w:sz w:val="28"/>
          <w:lang w:val="uk-UA"/>
        </w:rPr>
        <w:t>од.</w:t>
      </w:r>
      <w:r>
        <w:rPr>
          <w:sz w:val="28"/>
          <w:lang w:val="uk-UA"/>
        </w:rPr>
        <w:t>,</w:t>
      </w:r>
      <w:r w:rsidRPr="001704C2">
        <w:rPr>
          <w:sz w:val="28"/>
          <w:lang w:val="uk-UA"/>
        </w:rPr>
        <w:t xml:space="preserve">                      </w:t>
      </w:r>
      <w:r w:rsidRPr="003F690B">
        <w:rPr>
          <w:sz w:val="28"/>
          <w:lang w:val="uk-UA"/>
        </w:rPr>
        <w:t>12</w:t>
      </w:r>
      <w:r>
        <w:rPr>
          <w:sz w:val="28"/>
          <w:lang w:val="uk-UA"/>
        </w:rPr>
        <w:t>8651 посадочне місце (</w:t>
      </w:r>
      <w:r>
        <w:rPr>
          <w:sz w:val="28"/>
          <w:lang w:val="en-US"/>
        </w:rPr>
        <w:t>I</w:t>
      </w:r>
      <w:r>
        <w:rPr>
          <w:sz w:val="28"/>
          <w:lang w:val="uk-UA"/>
        </w:rPr>
        <w:t xml:space="preserve"> кв. 2019 р. – 2912 од. -  127429 посадочних місць)</w:t>
      </w:r>
      <w:r w:rsidRPr="001704C2">
        <w:rPr>
          <w:sz w:val="28"/>
          <w:lang w:val="uk-UA"/>
        </w:rPr>
        <w:t>;</w:t>
      </w:r>
    </w:p>
    <w:p w:rsidR="00143BBA" w:rsidRPr="001704C2" w:rsidRDefault="00143BBA" w:rsidP="008D7D94">
      <w:pPr>
        <w:numPr>
          <w:ilvl w:val="0"/>
          <w:numId w:val="1"/>
        </w:numPr>
        <w:jc w:val="both"/>
        <w:rPr>
          <w:sz w:val="28"/>
          <w:lang w:val="uk-UA"/>
        </w:rPr>
      </w:pPr>
      <w:r w:rsidRPr="001704C2">
        <w:rPr>
          <w:sz w:val="28"/>
          <w:lang w:val="uk-UA"/>
        </w:rPr>
        <w:t xml:space="preserve">підприємств побутового обслуговування населення – </w:t>
      </w:r>
      <w:r w:rsidRPr="003F690B">
        <w:rPr>
          <w:sz w:val="28"/>
          <w:lang w:val="uk-UA"/>
        </w:rPr>
        <w:t>2</w:t>
      </w:r>
      <w:r>
        <w:rPr>
          <w:sz w:val="28"/>
          <w:lang w:val="uk-UA"/>
        </w:rPr>
        <w:t>268</w:t>
      </w:r>
      <w:r w:rsidRPr="001704C2">
        <w:rPr>
          <w:sz w:val="28"/>
          <w:lang w:val="uk-UA"/>
        </w:rPr>
        <w:t xml:space="preserve"> од.</w:t>
      </w:r>
      <w:r>
        <w:rPr>
          <w:sz w:val="28"/>
          <w:lang w:val="uk-UA"/>
        </w:rPr>
        <w:t xml:space="preserve">           (</w:t>
      </w:r>
      <w:r>
        <w:rPr>
          <w:sz w:val="28"/>
          <w:lang w:val="en-US"/>
        </w:rPr>
        <w:t>I</w:t>
      </w:r>
      <w:r>
        <w:rPr>
          <w:sz w:val="28"/>
          <w:lang w:val="uk-UA"/>
        </w:rPr>
        <w:t xml:space="preserve"> кв. 2019 р. - 2930 од.)</w:t>
      </w:r>
      <w:r w:rsidRPr="001704C2">
        <w:rPr>
          <w:sz w:val="28"/>
          <w:lang w:val="uk-UA"/>
        </w:rPr>
        <w:t>;</w:t>
      </w:r>
    </w:p>
    <w:p w:rsidR="00143BBA" w:rsidRPr="0036102C" w:rsidRDefault="00143BBA" w:rsidP="008D7D94">
      <w:pPr>
        <w:pStyle w:val="ListParagraph"/>
        <w:numPr>
          <w:ilvl w:val="0"/>
          <w:numId w:val="2"/>
        </w:numPr>
        <w:ind w:hanging="654"/>
        <w:jc w:val="both"/>
        <w:rPr>
          <w:sz w:val="28"/>
          <w:lang w:val="uk-UA"/>
        </w:rPr>
      </w:pPr>
      <w:r w:rsidRPr="0036102C">
        <w:rPr>
          <w:sz w:val="28"/>
          <w:lang w:val="uk-UA"/>
        </w:rPr>
        <w:t xml:space="preserve">ринків та торговельних майданчиків – </w:t>
      </w:r>
      <w:r w:rsidRPr="003F690B">
        <w:rPr>
          <w:sz w:val="28"/>
          <w:lang w:val="uk-UA"/>
        </w:rPr>
        <w:t>53</w:t>
      </w:r>
      <w:r>
        <w:rPr>
          <w:sz w:val="28"/>
          <w:lang w:val="uk-UA"/>
        </w:rPr>
        <w:t xml:space="preserve"> од., в т. ч. 45</w:t>
      </w:r>
      <w:r w:rsidRPr="0036102C">
        <w:rPr>
          <w:sz w:val="28"/>
          <w:lang w:val="uk-UA"/>
        </w:rPr>
        <w:t xml:space="preserve"> - змішаних,         </w:t>
      </w:r>
      <w:r>
        <w:rPr>
          <w:sz w:val="28"/>
          <w:lang w:val="uk-UA"/>
        </w:rPr>
        <w:t>1</w:t>
      </w:r>
      <w:r w:rsidRPr="0036102C">
        <w:rPr>
          <w:sz w:val="28"/>
          <w:lang w:val="uk-UA"/>
        </w:rPr>
        <w:t xml:space="preserve"> - продовольчи</w:t>
      </w:r>
      <w:r>
        <w:rPr>
          <w:sz w:val="28"/>
          <w:lang w:val="uk-UA"/>
        </w:rPr>
        <w:t>й</w:t>
      </w:r>
      <w:r w:rsidRPr="0036102C">
        <w:rPr>
          <w:sz w:val="28"/>
          <w:lang w:val="uk-UA"/>
        </w:rPr>
        <w:t>, 7 – непродовольчих. Кількість торгових об’єктів на ринках та торговельних майданчиках м. Харкова – 24420 од., торгових місць –  63371 од. (з них 7915 од. з реалізації продовольчих товарів та 55456 од. з реалізації непродовольчих товарів).</w:t>
      </w:r>
    </w:p>
    <w:p w:rsidR="00143BBA" w:rsidRPr="001704C2" w:rsidRDefault="00143BBA" w:rsidP="008D7D94">
      <w:pPr>
        <w:ind w:firstLine="709"/>
        <w:jc w:val="both"/>
        <w:rPr>
          <w:sz w:val="28"/>
          <w:szCs w:val="28"/>
          <w:lang w:val="uk-UA"/>
        </w:rPr>
      </w:pPr>
      <w:r w:rsidRPr="001704C2">
        <w:rPr>
          <w:sz w:val="28"/>
          <w:szCs w:val="28"/>
          <w:lang w:val="uk-UA"/>
        </w:rPr>
        <w:t xml:space="preserve">Мережа підприємств торгівлі збільшилася на </w:t>
      </w:r>
      <w:r>
        <w:rPr>
          <w:sz w:val="28"/>
          <w:szCs w:val="28"/>
          <w:lang w:val="uk-UA"/>
        </w:rPr>
        <w:t>37</w:t>
      </w:r>
      <w:r w:rsidRPr="001704C2">
        <w:rPr>
          <w:sz w:val="28"/>
          <w:szCs w:val="28"/>
          <w:lang w:val="uk-UA"/>
        </w:rPr>
        <w:t xml:space="preserve"> од., або на </w:t>
      </w:r>
      <w:r>
        <w:rPr>
          <w:sz w:val="28"/>
          <w:szCs w:val="28"/>
          <w:lang w:val="uk-UA"/>
        </w:rPr>
        <w:t>1,2</w:t>
      </w:r>
      <w:r w:rsidRPr="003F690B">
        <w:rPr>
          <w:sz w:val="28"/>
          <w:szCs w:val="28"/>
          <w:lang w:val="uk-UA"/>
        </w:rPr>
        <w:t>%,</w:t>
      </w:r>
      <w:r w:rsidRPr="001704C2">
        <w:rPr>
          <w:sz w:val="28"/>
          <w:szCs w:val="28"/>
          <w:lang w:val="uk-UA"/>
        </w:rPr>
        <w:t xml:space="preserve"> порівняно з </w:t>
      </w:r>
      <w:r>
        <w:rPr>
          <w:sz w:val="28"/>
          <w:lang w:val="en-US"/>
        </w:rPr>
        <w:t>I</w:t>
      </w:r>
      <w:r>
        <w:rPr>
          <w:sz w:val="28"/>
          <w:lang w:val="uk-UA"/>
        </w:rPr>
        <w:t xml:space="preserve"> кв. 2019 р. </w:t>
      </w:r>
      <w:r>
        <w:rPr>
          <w:sz w:val="28"/>
          <w:szCs w:val="28"/>
          <w:lang w:val="uk-UA"/>
        </w:rPr>
        <w:t>року</w:t>
      </w:r>
      <w:r w:rsidRPr="001704C2">
        <w:rPr>
          <w:sz w:val="28"/>
          <w:szCs w:val="28"/>
          <w:lang w:val="uk-UA"/>
        </w:rPr>
        <w:t xml:space="preserve">. Мережа підприємств ресторанного господарства, порівняно з </w:t>
      </w:r>
      <w:r>
        <w:rPr>
          <w:sz w:val="28"/>
          <w:szCs w:val="28"/>
          <w:lang w:val="uk-UA"/>
        </w:rPr>
        <w:t>відповідним періодом минулого року,</w:t>
      </w:r>
      <w:r w:rsidRPr="001704C2">
        <w:rPr>
          <w:sz w:val="28"/>
          <w:szCs w:val="28"/>
          <w:lang w:val="uk-UA"/>
        </w:rPr>
        <w:t xml:space="preserve"> збільшилась на</w:t>
      </w:r>
      <w:r w:rsidRPr="001704C2">
        <w:rPr>
          <w:b/>
          <w:sz w:val="28"/>
          <w:szCs w:val="28"/>
          <w:lang w:val="uk-UA"/>
        </w:rPr>
        <w:t xml:space="preserve"> </w:t>
      </w:r>
      <w:r w:rsidRPr="006A2460">
        <w:rPr>
          <w:sz w:val="28"/>
          <w:szCs w:val="28"/>
          <w:lang w:val="uk-UA"/>
        </w:rPr>
        <w:t>2</w:t>
      </w:r>
      <w:r>
        <w:rPr>
          <w:sz w:val="28"/>
          <w:szCs w:val="28"/>
          <w:lang w:val="uk-UA"/>
        </w:rPr>
        <w:t>7</w:t>
      </w:r>
      <w:r w:rsidRPr="003F690B">
        <w:rPr>
          <w:sz w:val="28"/>
          <w:szCs w:val="28"/>
          <w:lang w:val="uk-UA"/>
        </w:rPr>
        <w:t xml:space="preserve"> </w:t>
      </w:r>
      <w:r w:rsidRPr="001704C2">
        <w:rPr>
          <w:sz w:val="28"/>
          <w:szCs w:val="28"/>
          <w:lang w:val="uk-UA"/>
        </w:rPr>
        <w:t>підприємств, або на</w:t>
      </w:r>
      <w:r w:rsidRPr="001704C2">
        <w:rPr>
          <w:b/>
          <w:sz w:val="28"/>
          <w:szCs w:val="28"/>
          <w:lang w:val="uk-UA"/>
        </w:rPr>
        <w:t xml:space="preserve"> </w:t>
      </w:r>
      <w:r w:rsidRPr="00FB6A6E">
        <w:rPr>
          <w:sz w:val="28"/>
          <w:szCs w:val="28"/>
          <w:lang w:val="uk-UA"/>
        </w:rPr>
        <w:t>0,9</w:t>
      </w:r>
      <w:r w:rsidRPr="001704C2">
        <w:rPr>
          <w:sz w:val="28"/>
          <w:szCs w:val="28"/>
          <w:lang w:val="uk-UA"/>
        </w:rPr>
        <w:t>%.</w:t>
      </w:r>
      <w:r w:rsidRPr="001704C2">
        <w:rPr>
          <w:b/>
          <w:sz w:val="28"/>
          <w:szCs w:val="28"/>
          <w:lang w:val="uk-UA"/>
        </w:rPr>
        <w:t xml:space="preserve"> </w:t>
      </w:r>
    </w:p>
    <w:p w:rsidR="00143BBA" w:rsidRPr="001704C2" w:rsidRDefault="00143BBA" w:rsidP="008D7D94">
      <w:pPr>
        <w:ind w:firstLine="709"/>
        <w:jc w:val="both"/>
        <w:rPr>
          <w:sz w:val="28"/>
          <w:szCs w:val="28"/>
          <w:lang w:val="uk-UA"/>
        </w:rPr>
      </w:pPr>
      <w:r w:rsidRPr="001704C2">
        <w:rPr>
          <w:sz w:val="28"/>
          <w:szCs w:val="28"/>
          <w:lang w:val="uk-UA"/>
        </w:rPr>
        <w:t xml:space="preserve">Мережа підприємств побутового обслуговування зменшилась на        </w:t>
      </w:r>
      <w:r>
        <w:rPr>
          <w:sz w:val="28"/>
          <w:szCs w:val="28"/>
          <w:lang w:val="uk-UA"/>
        </w:rPr>
        <w:t>662</w:t>
      </w:r>
      <w:r w:rsidRPr="001704C2">
        <w:rPr>
          <w:b/>
          <w:sz w:val="28"/>
          <w:szCs w:val="28"/>
          <w:lang w:val="uk-UA"/>
        </w:rPr>
        <w:t xml:space="preserve"> </w:t>
      </w:r>
      <w:r w:rsidRPr="001704C2">
        <w:rPr>
          <w:sz w:val="28"/>
          <w:szCs w:val="28"/>
          <w:lang w:val="uk-UA"/>
        </w:rPr>
        <w:t>од.,</w:t>
      </w:r>
      <w:r w:rsidRPr="001704C2">
        <w:rPr>
          <w:b/>
          <w:sz w:val="28"/>
          <w:szCs w:val="28"/>
          <w:lang w:val="uk-UA"/>
        </w:rPr>
        <w:t xml:space="preserve"> </w:t>
      </w:r>
      <w:r w:rsidRPr="001704C2">
        <w:rPr>
          <w:sz w:val="28"/>
          <w:szCs w:val="28"/>
          <w:lang w:val="uk-UA"/>
        </w:rPr>
        <w:t xml:space="preserve">або на </w:t>
      </w:r>
      <w:r w:rsidRPr="003F690B">
        <w:rPr>
          <w:sz w:val="28"/>
          <w:szCs w:val="28"/>
          <w:lang w:val="uk-UA"/>
        </w:rPr>
        <w:t>2</w:t>
      </w:r>
      <w:r>
        <w:rPr>
          <w:sz w:val="28"/>
          <w:szCs w:val="28"/>
          <w:lang w:val="uk-UA"/>
        </w:rPr>
        <w:t>2,6</w:t>
      </w:r>
      <w:r w:rsidRPr="001704C2">
        <w:rPr>
          <w:sz w:val="28"/>
          <w:szCs w:val="28"/>
          <w:lang w:val="uk-UA"/>
        </w:rPr>
        <w:t>%, порівняно з</w:t>
      </w:r>
      <w:r w:rsidRPr="00FB6A6E">
        <w:rPr>
          <w:sz w:val="28"/>
          <w:lang w:val="uk-UA"/>
        </w:rPr>
        <w:t xml:space="preserve"> </w:t>
      </w:r>
      <w:r>
        <w:rPr>
          <w:sz w:val="28"/>
          <w:lang w:val="en-US"/>
        </w:rPr>
        <w:t>I</w:t>
      </w:r>
      <w:r>
        <w:rPr>
          <w:sz w:val="28"/>
          <w:lang w:val="uk-UA"/>
        </w:rPr>
        <w:t xml:space="preserve"> кв. 2019 р. </w:t>
      </w:r>
      <w:r w:rsidRPr="001704C2">
        <w:rPr>
          <w:sz w:val="28"/>
          <w:szCs w:val="28"/>
          <w:lang w:val="uk-UA"/>
        </w:rPr>
        <w:t>Зменшення кількості підприємств побутового обслуговування пов’язано з підвищенням цін на житлово-комунальні послуги (особливо це відчутно для таких підприємств, як лазні, пральні, хімчистки), збільшенням плати за користування орендними приміщеннями, в яких знаходиться більшість підприємств.</w:t>
      </w:r>
    </w:p>
    <w:p w:rsidR="00143BBA" w:rsidRPr="001704C2" w:rsidRDefault="00143BBA" w:rsidP="008D7D94">
      <w:pPr>
        <w:pStyle w:val="BodyTextIndent"/>
        <w:ind w:firstLine="709"/>
      </w:pPr>
      <w:r w:rsidRPr="001704C2">
        <w:t xml:space="preserve">За </w:t>
      </w:r>
      <w:r>
        <w:rPr>
          <w:lang w:val="en-US"/>
        </w:rPr>
        <w:t>I</w:t>
      </w:r>
      <w:r>
        <w:t xml:space="preserve"> кв. 2020 р. </w:t>
      </w:r>
      <w:r w:rsidRPr="001704C2">
        <w:t xml:space="preserve">було відкрито </w:t>
      </w:r>
      <w:r>
        <w:t>23</w:t>
      </w:r>
      <w:r w:rsidRPr="001704C2">
        <w:t xml:space="preserve"> продовольч</w:t>
      </w:r>
      <w:r>
        <w:t>і</w:t>
      </w:r>
      <w:r w:rsidRPr="001704C2">
        <w:t xml:space="preserve"> підприємства торгівлі, </w:t>
      </w:r>
      <w:r>
        <w:t xml:space="preserve">    12 стаціонарн</w:t>
      </w:r>
      <w:r w:rsidRPr="007A0D0A">
        <w:t>их</w:t>
      </w:r>
      <w:r w:rsidRPr="001704C2">
        <w:t xml:space="preserve"> підприємств ресторанного господарства на </w:t>
      </w:r>
      <w:r>
        <w:t>405</w:t>
      </w:r>
      <w:r w:rsidRPr="001704C2">
        <w:t xml:space="preserve"> посадочних місц</w:t>
      </w:r>
      <w:r>
        <w:t>ь</w:t>
      </w:r>
      <w:r w:rsidRPr="001704C2">
        <w:t xml:space="preserve">, у т. ч. </w:t>
      </w:r>
      <w:r>
        <w:t>7</w:t>
      </w:r>
      <w:r w:rsidRPr="001704C2">
        <w:rPr>
          <w:b/>
        </w:rPr>
        <w:t xml:space="preserve"> </w:t>
      </w:r>
      <w:r w:rsidRPr="001704C2">
        <w:t xml:space="preserve">кафе, </w:t>
      </w:r>
      <w:r>
        <w:t>1 бар,2</w:t>
      </w:r>
      <w:r w:rsidRPr="001704C2">
        <w:rPr>
          <w:b/>
        </w:rPr>
        <w:t xml:space="preserve"> </w:t>
      </w:r>
      <w:r w:rsidRPr="001704C2">
        <w:t>буфет</w:t>
      </w:r>
      <w:r>
        <w:t>и</w:t>
      </w:r>
      <w:r w:rsidRPr="001704C2">
        <w:t>,</w:t>
      </w:r>
      <w:r w:rsidRPr="003F690B">
        <w:t xml:space="preserve"> </w:t>
      </w:r>
      <w:r>
        <w:t>2</w:t>
      </w:r>
      <w:r w:rsidRPr="001704C2">
        <w:t xml:space="preserve"> підприємств</w:t>
      </w:r>
      <w:r>
        <w:t>а</w:t>
      </w:r>
      <w:r w:rsidRPr="001704C2">
        <w:t xml:space="preserve"> спеціалізованої мережі</w:t>
      </w:r>
      <w:r>
        <w:t xml:space="preserve">;                         </w:t>
      </w:r>
      <w:r w:rsidRPr="001704C2">
        <w:rPr>
          <w:b/>
        </w:rPr>
        <w:t xml:space="preserve"> </w:t>
      </w:r>
      <w:r w:rsidRPr="00880AD5">
        <w:t>3</w:t>
      </w:r>
      <w:r>
        <w:t>6</w:t>
      </w:r>
      <w:r w:rsidRPr="001704C2">
        <w:t xml:space="preserve"> підприємств побутового обслуговування населення, у </w:t>
      </w:r>
      <w:r>
        <w:t xml:space="preserve"> </w:t>
      </w:r>
      <w:r w:rsidRPr="001704C2">
        <w:t xml:space="preserve">т. ч. </w:t>
      </w:r>
      <w:r>
        <w:t>14 автомийок, 5</w:t>
      </w:r>
      <w:r w:rsidRPr="001704C2">
        <w:t xml:space="preserve"> перукарень, </w:t>
      </w:r>
      <w:r>
        <w:t>10 станцій технічного обслуговування, 7</w:t>
      </w:r>
      <w:r w:rsidRPr="001704C2">
        <w:rPr>
          <w:b/>
        </w:rPr>
        <w:t xml:space="preserve"> </w:t>
      </w:r>
      <w:r w:rsidRPr="001704C2">
        <w:t xml:space="preserve">од. - інших видів послуг. </w:t>
      </w:r>
    </w:p>
    <w:p w:rsidR="00143BBA" w:rsidRPr="001704C2" w:rsidRDefault="00143BBA" w:rsidP="008D7D94">
      <w:pPr>
        <w:ind w:firstLine="709"/>
        <w:jc w:val="both"/>
        <w:rPr>
          <w:sz w:val="28"/>
          <w:lang w:val="uk-UA"/>
        </w:rPr>
      </w:pPr>
      <w:r w:rsidRPr="001704C2">
        <w:rPr>
          <w:sz w:val="28"/>
          <w:lang w:val="uk-UA"/>
        </w:rPr>
        <w:t xml:space="preserve">За рахунок відкриття нових підприємств додатково створено             </w:t>
      </w:r>
      <w:r w:rsidRPr="001704C2">
        <w:rPr>
          <w:b/>
          <w:sz w:val="28"/>
          <w:lang w:val="uk-UA"/>
        </w:rPr>
        <w:t xml:space="preserve"> </w:t>
      </w:r>
      <w:r w:rsidRPr="005A6C7F">
        <w:rPr>
          <w:sz w:val="28"/>
          <w:lang w:val="uk-UA"/>
        </w:rPr>
        <w:t>351</w:t>
      </w:r>
      <w:r w:rsidRPr="001704C2">
        <w:rPr>
          <w:sz w:val="28"/>
          <w:lang w:val="uk-UA"/>
        </w:rPr>
        <w:t>нов</w:t>
      </w:r>
      <w:r>
        <w:rPr>
          <w:sz w:val="28"/>
          <w:lang w:val="uk-UA"/>
        </w:rPr>
        <w:t>е</w:t>
      </w:r>
      <w:r w:rsidRPr="001704C2">
        <w:rPr>
          <w:sz w:val="28"/>
          <w:lang w:val="uk-UA"/>
        </w:rPr>
        <w:t xml:space="preserve"> робоч</w:t>
      </w:r>
      <w:r>
        <w:rPr>
          <w:sz w:val="28"/>
          <w:lang w:val="uk-UA"/>
        </w:rPr>
        <w:t>е</w:t>
      </w:r>
      <w:r w:rsidRPr="001704C2">
        <w:rPr>
          <w:sz w:val="28"/>
          <w:lang w:val="uk-UA"/>
        </w:rPr>
        <w:t xml:space="preserve"> місц</w:t>
      </w:r>
      <w:r>
        <w:rPr>
          <w:sz w:val="28"/>
          <w:lang w:val="uk-UA"/>
        </w:rPr>
        <w:t>е</w:t>
      </w:r>
      <w:r w:rsidRPr="001704C2">
        <w:rPr>
          <w:sz w:val="28"/>
          <w:lang w:val="uk-UA"/>
        </w:rPr>
        <w:t xml:space="preserve"> (</w:t>
      </w:r>
      <w:r>
        <w:rPr>
          <w:sz w:val="28"/>
          <w:szCs w:val="28"/>
          <w:lang w:val="uk-UA"/>
        </w:rPr>
        <w:t>за</w:t>
      </w:r>
      <w:r w:rsidRPr="005A6C7F">
        <w:rPr>
          <w:sz w:val="28"/>
        </w:rPr>
        <w:t xml:space="preserve"> </w:t>
      </w:r>
      <w:r>
        <w:rPr>
          <w:sz w:val="28"/>
          <w:lang w:val="en-US"/>
        </w:rPr>
        <w:t>I</w:t>
      </w:r>
      <w:r>
        <w:rPr>
          <w:sz w:val="28"/>
          <w:lang w:val="uk-UA"/>
        </w:rPr>
        <w:t xml:space="preserve"> кв. 2019 р. </w:t>
      </w:r>
      <w:r w:rsidRPr="001704C2">
        <w:rPr>
          <w:sz w:val="28"/>
          <w:szCs w:val="28"/>
          <w:lang w:val="uk-UA"/>
        </w:rPr>
        <w:t>-</w:t>
      </w:r>
      <w:r w:rsidRPr="001704C2">
        <w:rPr>
          <w:sz w:val="28"/>
          <w:lang w:val="uk-UA"/>
        </w:rPr>
        <w:t xml:space="preserve"> </w:t>
      </w:r>
      <w:r>
        <w:rPr>
          <w:sz w:val="28"/>
          <w:lang w:val="uk-UA"/>
        </w:rPr>
        <w:t>147</w:t>
      </w:r>
      <w:r w:rsidRPr="003F690B">
        <w:rPr>
          <w:sz w:val="28"/>
          <w:lang w:val="uk-UA"/>
        </w:rPr>
        <w:t xml:space="preserve"> од.), </w:t>
      </w:r>
      <w:r w:rsidRPr="001704C2">
        <w:rPr>
          <w:sz w:val="28"/>
          <w:lang w:val="uk-UA"/>
        </w:rPr>
        <w:t>у т. ч.:</w:t>
      </w:r>
    </w:p>
    <w:p w:rsidR="00143BBA" w:rsidRPr="001704C2" w:rsidRDefault="00143BBA" w:rsidP="008D7D94">
      <w:pPr>
        <w:numPr>
          <w:ilvl w:val="0"/>
          <w:numId w:val="1"/>
        </w:numPr>
        <w:jc w:val="both"/>
        <w:rPr>
          <w:sz w:val="28"/>
          <w:lang w:val="uk-UA"/>
        </w:rPr>
      </w:pPr>
      <w:r w:rsidRPr="003F690B">
        <w:rPr>
          <w:sz w:val="28"/>
          <w:lang w:val="uk-UA"/>
        </w:rPr>
        <w:t>1</w:t>
      </w:r>
      <w:r>
        <w:rPr>
          <w:sz w:val="28"/>
          <w:lang w:val="uk-UA"/>
        </w:rPr>
        <w:t>52</w:t>
      </w:r>
      <w:r w:rsidRPr="001704C2">
        <w:rPr>
          <w:b/>
          <w:sz w:val="28"/>
          <w:lang w:val="uk-UA"/>
        </w:rPr>
        <w:t xml:space="preserve"> </w:t>
      </w:r>
      <w:r w:rsidRPr="001704C2">
        <w:rPr>
          <w:sz w:val="28"/>
          <w:lang w:val="uk-UA"/>
        </w:rPr>
        <w:t>од. - на</w:t>
      </w:r>
      <w:r w:rsidRPr="001704C2">
        <w:rPr>
          <w:b/>
          <w:sz w:val="28"/>
          <w:lang w:val="uk-UA"/>
        </w:rPr>
        <w:t xml:space="preserve"> </w:t>
      </w:r>
      <w:r w:rsidRPr="001704C2">
        <w:rPr>
          <w:sz w:val="28"/>
          <w:lang w:val="uk-UA"/>
        </w:rPr>
        <w:t xml:space="preserve"> підприємствах торгівлі (</w:t>
      </w:r>
      <w:r w:rsidRPr="001704C2">
        <w:rPr>
          <w:sz w:val="28"/>
          <w:szCs w:val="28"/>
          <w:lang w:val="uk-UA"/>
        </w:rPr>
        <w:t>за</w:t>
      </w:r>
      <w:r>
        <w:rPr>
          <w:sz w:val="28"/>
          <w:szCs w:val="28"/>
          <w:lang w:val="uk-UA"/>
        </w:rPr>
        <w:t xml:space="preserve"> </w:t>
      </w:r>
      <w:r>
        <w:rPr>
          <w:sz w:val="28"/>
          <w:lang w:val="en-US"/>
        </w:rPr>
        <w:t>I</w:t>
      </w:r>
      <w:r>
        <w:rPr>
          <w:sz w:val="28"/>
          <w:lang w:val="uk-UA"/>
        </w:rPr>
        <w:t xml:space="preserve"> кв. 2019 р. </w:t>
      </w:r>
      <w:r w:rsidRPr="001704C2">
        <w:rPr>
          <w:sz w:val="28"/>
          <w:lang w:val="uk-UA"/>
        </w:rPr>
        <w:t>-</w:t>
      </w:r>
      <w:r w:rsidRPr="00496D3A">
        <w:rPr>
          <w:b/>
          <w:sz w:val="28"/>
          <w:lang w:val="uk-UA"/>
        </w:rPr>
        <w:t xml:space="preserve"> </w:t>
      </w:r>
      <w:r w:rsidRPr="00420922">
        <w:rPr>
          <w:sz w:val="28"/>
          <w:lang w:val="uk-UA"/>
        </w:rPr>
        <w:t>2</w:t>
      </w:r>
      <w:r>
        <w:rPr>
          <w:sz w:val="28"/>
          <w:lang w:val="uk-UA"/>
        </w:rPr>
        <w:t>4</w:t>
      </w:r>
      <w:r w:rsidRPr="001704C2">
        <w:rPr>
          <w:sz w:val="28"/>
          <w:lang w:val="uk-UA"/>
        </w:rPr>
        <w:t xml:space="preserve"> од.);</w:t>
      </w:r>
    </w:p>
    <w:p w:rsidR="00143BBA" w:rsidRPr="001704C2" w:rsidRDefault="00143BBA" w:rsidP="008D7D94">
      <w:pPr>
        <w:numPr>
          <w:ilvl w:val="0"/>
          <w:numId w:val="1"/>
        </w:numPr>
        <w:jc w:val="both"/>
        <w:rPr>
          <w:sz w:val="28"/>
          <w:lang w:val="uk-UA"/>
        </w:rPr>
      </w:pPr>
      <w:r>
        <w:rPr>
          <w:sz w:val="28"/>
          <w:lang w:val="uk-UA"/>
        </w:rPr>
        <w:t>84</w:t>
      </w:r>
      <w:r w:rsidRPr="001704C2">
        <w:rPr>
          <w:sz w:val="28"/>
          <w:lang w:val="uk-UA"/>
        </w:rPr>
        <w:t xml:space="preserve"> од. - на підприємствах рес</w:t>
      </w:r>
      <w:r>
        <w:rPr>
          <w:sz w:val="28"/>
          <w:lang w:val="uk-UA"/>
        </w:rPr>
        <w:t>торанного господарства (за</w:t>
      </w:r>
      <w:r>
        <w:rPr>
          <w:sz w:val="28"/>
          <w:szCs w:val="28"/>
          <w:lang w:val="uk-UA"/>
        </w:rPr>
        <w:t xml:space="preserve"> </w:t>
      </w:r>
      <w:r>
        <w:rPr>
          <w:sz w:val="28"/>
          <w:lang w:val="en-US"/>
        </w:rPr>
        <w:t>I</w:t>
      </w:r>
      <w:r>
        <w:rPr>
          <w:sz w:val="28"/>
          <w:lang w:val="uk-UA"/>
        </w:rPr>
        <w:t xml:space="preserve"> кв. 2019 р. -</w:t>
      </w:r>
      <w:r w:rsidRPr="001704C2">
        <w:rPr>
          <w:sz w:val="28"/>
          <w:lang w:val="uk-UA"/>
        </w:rPr>
        <w:t xml:space="preserve"> </w:t>
      </w:r>
      <w:r>
        <w:rPr>
          <w:sz w:val="28"/>
          <w:lang w:val="uk-UA"/>
        </w:rPr>
        <w:t>90</w:t>
      </w:r>
      <w:r w:rsidRPr="001704C2">
        <w:rPr>
          <w:b/>
          <w:sz w:val="28"/>
          <w:lang w:val="uk-UA"/>
        </w:rPr>
        <w:t xml:space="preserve"> </w:t>
      </w:r>
      <w:r w:rsidRPr="001704C2">
        <w:rPr>
          <w:sz w:val="28"/>
          <w:lang w:val="uk-UA"/>
        </w:rPr>
        <w:t>од.);</w:t>
      </w:r>
    </w:p>
    <w:p w:rsidR="00143BBA" w:rsidRPr="001704C2" w:rsidRDefault="00143BBA" w:rsidP="008D7D94">
      <w:pPr>
        <w:numPr>
          <w:ilvl w:val="0"/>
          <w:numId w:val="1"/>
        </w:numPr>
        <w:jc w:val="both"/>
        <w:rPr>
          <w:sz w:val="28"/>
          <w:szCs w:val="28"/>
          <w:lang w:val="uk-UA"/>
        </w:rPr>
      </w:pPr>
      <w:r w:rsidRPr="005A6C7F">
        <w:rPr>
          <w:sz w:val="28"/>
          <w:szCs w:val="28"/>
          <w:lang w:val="uk-UA"/>
        </w:rPr>
        <w:t>115</w:t>
      </w:r>
      <w:r w:rsidRPr="001704C2">
        <w:rPr>
          <w:b/>
          <w:sz w:val="28"/>
          <w:szCs w:val="28"/>
          <w:lang w:val="uk-UA"/>
        </w:rPr>
        <w:t xml:space="preserve"> </w:t>
      </w:r>
      <w:r w:rsidRPr="001704C2">
        <w:rPr>
          <w:sz w:val="28"/>
          <w:szCs w:val="28"/>
          <w:lang w:val="uk-UA"/>
        </w:rPr>
        <w:t>од. - на підприємствах побутового обслуговування населення (</w:t>
      </w:r>
      <w:r>
        <w:rPr>
          <w:sz w:val="28"/>
          <w:lang w:val="uk-UA"/>
        </w:rPr>
        <w:t>за</w:t>
      </w:r>
      <w:r>
        <w:rPr>
          <w:sz w:val="28"/>
          <w:szCs w:val="28"/>
          <w:lang w:val="uk-UA"/>
        </w:rPr>
        <w:t xml:space="preserve">  </w:t>
      </w:r>
      <w:r>
        <w:rPr>
          <w:sz w:val="28"/>
          <w:lang w:val="en-US"/>
        </w:rPr>
        <w:t>I</w:t>
      </w:r>
      <w:r>
        <w:rPr>
          <w:sz w:val="28"/>
          <w:lang w:val="uk-UA"/>
        </w:rPr>
        <w:t xml:space="preserve"> кв. 2019 р. </w:t>
      </w:r>
      <w:r w:rsidRPr="001704C2">
        <w:rPr>
          <w:sz w:val="28"/>
          <w:szCs w:val="28"/>
          <w:lang w:val="uk-UA"/>
        </w:rPr>
        <w:t xml:space="preserve">– </w:t>
      </w:r>
      <w:r>
        <w:rPr>
          <w:sz w:val="28"/>
          <w:szCs w:val="28"/>
          <w:lang w:val="uk-UA"/>
        </w:rPr>
        <w:t>33</w:t>
      </w:r>
      <w:r w:rsidRPr="001704C2">
        <w:rPr>
          <w:b/>
          <w:sz w:val="28"/>
          <w:szCs w:val="28"/>
          <w:lang w:val="uk-UA"/>
        </w:rPr>
        <w:t xml:space="preserve"> </w:t>
      </w:r>
      <w:r w:rsidRPr="001704C2">
        <w:rPr>
          <w:sz w:val="28"/>
          <w:szCs w:val="28"/>
          <w:lang w:val="uk-UA"/>
        </w:rPr>
        <w:t>од.).</w:t>
      </w:r>
    </w:p>
    <w:p w:rsidR="00143BBA" w:rsidRPr="001704C2" w:rsidRDefault="00143BBA" w:rsidP="008D7D94">
      <w:pPr>
        <w:ind w:firstLine="709"/>
        <w:jc w:val="both"/>
        <w:rPr>
          <w:sz w:val="28"/>
          <w:szCs w:val="28"/>
          <w:lang w:val="uk-UA"/>
        </w:rPr>
      </w:pPr>
      <w:r w:rsidRPr="001704C2">
        <w:rPr>
          <w:sz w:val="28"/>
          <w:szCs w:val="28"/>
          <w:lang w:val="uk-UA"/>
        </w:rPr>
        <w:t>Продовжує збільшуватися кількість підприємств, що застосовують альтернативні форми торгівлі: по каталогу і зразках, підприємства торгівлі типу “супермаркет” та “гіпермаркет”. Асортимент товарів у таких магазинах складає понад 30 тис. найменувань продовольчих і непродовольчих товарів.</w:t>
      </w:r>
    </w:p>
    <w:p w:rsidR="00143BBA" w:rsidRPr="001704C2" w:rsidRDefault="00143BBA" w:rsidP="008D7D94">
      <w:pPr>
        <w:ind w:firstLine="426"/>
        <w:jc w:val="both"/>
        <w:rPr>
          <w:sz w:val="28"/>
          <w:lang w:val="uk-UA"/>
        </w:rPr>
      </w:pPr>
      <w:r w:rsidRPr="001704C2">
        <w:rPr>
          <w:sz w:val="28"/>
          <w:lang w:val="uk-UA"/>
        </w:rPr>
        <w:t xml:space="preserve">    Станом на 01.</w:t>
      </w:r>
      <w:r>
        <w:rPr>
          <w:sz w:val="28"/>
          <w:lang w:val="uk-UA"/>
        </w:rPr>
        <w:t>04</w:t>
      </w:r>
      <w:r w:rsidRPr="001704C2">
        <w:rPr>
          <w:sz w:val="28"/>
          <w:lang w:val="uk-UA"/>
        </w:rPr>
        <w:t>.20</w:t>
      </w:r>
      <w:r>
        <w:rPr>
          <w:sz w:val="28"/>
          <w:lang w:val="uk-UA"/>
        </w:rPr>
        <w:t>20</w:t>
      </w:r>
      <w:r w:rsidRPr="001704C2">
        <w:rPr>
          <w:sz w:val="28"/>
          <w:lang w:val="uk-UA"/>
        </w:rPr>
        <w:t xml:space="preserve"> у місті функціонують </w:t>
      </w:r>
      <w:r w:rsidRPr="005D58BE">
        <w:rPr>
          <w:sz w:val="28"/>
          <w:lang w:val="uk-UA"/>
        </w:rPr>
        <w:t>23</w:t>
      </w:r>
      <w:r w:rsidRPr="001704C2">
        <w:rPr>
          <w:sz w:val="28"/>
          <w:lang w:val="uk-UA"/>
        </w:rPr>
        <w:t xml:space="preserve"> гіпермаркети та                   </w:t>
      </w:r>
      <w:r w:rsidRPr="005D58BE">
        <w:rPr>
          <w:sz w:val="28"/>
          <w:lang w:val="uk-UA"/>
        </w:rPr>
        <w:t>2</w:t>
      </w:r>
      <w:r>
        <w:rPr>
          <w:sz w:val="28"/>
          <w:lang w:val="uk-UA"/>
        </w:rPr>
        <w:t>10</w:t>
      </w:r>
      <w:r w:rsidRPr="001704C2">
        <w:rPr>
          <w:sz w:val="28"/>
          <w:lang w:val="uk-UA"/>
        </w:rPr>
        <w:t xml:space="preserve"> супермаркетів, в яких застосовуються комп’ютеризовані системи розрахунків з покупцями. Крім того, реалізація непродовольчих товарів зосереджена у</w:t>
      </w:r>
      <w:r w:rsidRPr="00496D3A">
        <w:rPr>
          <w:b/>
          <w:sz w:val="28"/>
          <w:lang w:val="uk-UA"/>
        </w:rPr>
        <w:t xml:space="preserve"> </w:t>
      </w:r>
      <w:r w:rsidRPr="005D58BE">
        <w:rPr>
          <w:sz w:val="28"/>
          <w:lang w:val="uk-UA"/>
        </w:rPr>
        <w:t>63</w:t>
      </w:r>
      <w:r w:rsidRPr="001704C2">
        <w:rPr>
          <w:sz w:val="28"/>
          <w:lang w:val="uk-UA"/>
        </w:rPr>
        <w:t xml:space="preserve"> торговельних центрах.</w:t>
      </w:r>
    </w:p>
    <w:p w:rsidR="00143BBA" w:rsidRPr="001704C2" w:rsidRDefault="00143BBA" w:rsidP="008D7D94">
      <w:pPr>
        <w:ind w:firstLine="709"/>
        <w:jc w:val="both"/>
        <w:rPr>
          <w:sz w:val="28"/>
          <w:lang w:val="uk-UA"/>
        </w:rPr>
      </w:pPr>
      <w:r w:rsidRPr="001704C2">
        <w:rPr>
          <w:sz w:val="28"/>
          <w:lang w:val="uk-UA"/>
        </w:rPr>
        <w:t>У зв'язку зі сприятливими умовами для ведення бізнесу в м. Харкові, значно розширюється торговельна мережа магазинів великих форматів.</w:t>
      </w:r>
    </w:p>
    <w:p w:rsidR="00143BBA" w:rsidRPr="001704C2" w:rsidRDefault="00143BBA" w:rsidP="008D7D94">
      <w:pPr>
        <w:ind w:firstLine="709"/>
        <w:jc w:val="both"/>
        <w:rPr>
          <w:sz w:val="28"/>
          <w:lang w:val="uk-UA"/>
        </w:rPr>
      </w:pPr>
      <w:r w:rsidRPr="001704C2">
        <w:rPr>
          <w:sz w:val="28"/>
          <w:lang w:val="uk-UA"/>
        </w:rPr>
        <w:t xml:space="preserve">На території м. Харкова здійснюють роздрібну торгівлю українські торговельні мережі: «АТБ», «Fozzy Group», «Ритейл Груп»  (Велмаркет),  «Таврія В». Загальна кількість магазинів яких складає </w:t>
      </w:r>
      <w:r>
        <w:rPr>
          <w:sz w:val="28"/>
          <w:lang w:val="uk-UA"/>
        </w:rPr>
        <w:t>94</w:t>
      </w:r>
      <w:r w:rsidRPr="005D58BE">
        <w:rPr>
          <w:sz w:val="28"/>
          <w:lang w:val="uk-UA"/>
        </w:rPr>
        <w:t xml:space="preserve"> </w:t>
      </w:r>
      <w:r w:rsidRPr="001704C2">
        <w:rPr>
          <w:sz w:val="28"/>
          <w:lang w:val="uk-UA"/>
        </w:rPr>
        <w:t>од.</w:t>
      </w:r>
    </w:p>
    <w:p w:rsidR="00143BBA" w:rsidRPr="001704C2" w:rsidRDefault="00143BBA" w:rsidP="008D7D94">
      <w:pPr>
        <w:ind w:firstLine="709"/>
        <w:jc w:val="both"/>
        <w:rPr>
          <w:sz w:val="28"/>
          <w:lang w:val="uk-UA"/>
        </w:rPr>
      </w:pPr>
      <w:r w:rsidRPr="001704C2">
        <w:rPr>
          <w:sz w:val="28"/>
          <w:lang w:val="uk-UA"/>
        </w:rPr>
        <w:t>Активно розвиваються харківські торговельні мережі: «Рост», «Клас», «Восторг», «Десятка», «Чудо-маркет», «Баскет», «Посад», «Дігма»</w:t>
      </w:r>
      <w:r>
        <w:rPr>
          <w:sz w:val="28"/>
          <w:lang w:val="uk-UA"/>
        </w:rPr>
        <w:t>, «Мак-маркет»</w:t>
      </w:r>
      <w:r w:rsidRPr="001704C2">
        <w:rPr>
          <w:sz w:val="28"/>
          <w:lang w:val="uk-UA"/>
        </w:rPr>
        <w:t xml:space="preserve"> та інші. Загальна кількість підприємств яких складає </w:t>
      </w:r>
      <w:r w:rsidRPr="005D58BE">
        <w:rPr>
          <w:sz w:val="28"/>
          <w:lang w:val="uk-UA"/>
        </w:rPr>
        <w:t>2</w:t>
      </w:r>
      <w:r>
        <w:rPr>
          <w:sz w:val="28"/>
          <w:lang w:val="uk-UA"/>
        </w:rPr>
        <w:t>33</w:t>
      </w:r>
      <w:r w:rsidRPr="005D58BE">
        <w:rPr>
          <w:sz w:val="28"/>
          <w:lang w:val="uk-UA"/>
        </w:rPr>
        <w:t xml:space="preserve"> </w:t>
      </w:r>
      <w:r w:rsidRPr="001704C2">
        <w:rPr>
          <w:sz w:val="28"/>
          <w:lang w:val="uk-UA"/>
        </w:rPr>
        <w:t>од. Основним пріоритетом у роботі харківських торговельних мереж є співпраця з місцевими виробниками без посередницьких послуг.</w:t>
      </w:r>
    </w:p>
    <w:p w:rsidR="00143BBA" w:rsidRDefault="00143BBA" w:rsidP="008D7D94">
      <w:pPr>
        <w:ind w:firstLine="709"/>
        <w:jc w:val="both"/>
        <w:rPr>
          <w:sz w:val="28"/>
          <w:lang w:val="uk-UA"/>
        </w:rPr>
      </w:pPr>
      <w:r w:rsidRPr="001704C2">
        <w:rPr>
          <w:sz w:val="28"/>
          <w:lang w:val="uk-UA"/>
        </w:rPr>
        <w:t xml:space="preserve">Продовжує розвиватися тенденція наближення підприємств роздрібної торгівлі до спальних районів, </w:t>
      </w:r>
      <w:r>
        <w:rPr>
          <w:sz w:val="28"/>
          <w:lang w:val="uk-UA"/>
        </w:rPr>
        <w:t xml:space="preserve">щодо </w:t>
      </w:r>
      <w:r w:rsidRPr="001704C2">
        <w:rPr>
          <w:sz w:val="28"/>
          <w:lang w:val="uk-UA"/>
        </w:rPr>
        <w:t>зручності придбання товарів та скорочення часу покупок населенням.</w:t>
      </w:r>
      <w:r w:rsidRPr="001704C2">
        <w:rPr>
          <w:b/>
          <w:sz w:val="28"/>
          <w:lang w:val="uk-UA"/>
        </w:rPr>
        <w:t xml:space="preserve"> </w:t>
      </w:r>
      <w:r w:rsidRPr="001704C2">
        <w:rPr>
          <w:sz w:val="28"/>
          <w:lang w:val="uk-UA"/>
        </w:rPr>
        <w:t>Всі рітейлери роблять акцент на товарах першої необхідності – це ваговий цукор, крупа, яйця та інше.</w:t>
      </w:r>
    </w:p>
    <w:p w:rsidR="00143BBA" w:rsidRDefault="00143BBA" w:rsidP="008D7D94">
      <w:pPr>
        <w:ind w:firstLine="709"/>
        <w:jc w:val="both"/>
        <w:rPr>
          <w:sz w:val="28"/>
          <w:lang w:val="uk-UA"/>
        </w:rPr>
      </w:pPr>
      <w:r>
        <w:rPr>
          <w:sz w:val="28"/>
          <w:lang w:val="uk-UA"/>
        </w:rPr>
        <w:t>Українські компанії швидко адаптуються до заходів, які запроваджує державна влада, органи місцевого самоврядування, спрямувавши всі зусилля на боротьбу з розповсюдженням коронавірусу на території м. Харкова.</w:t>
      </w:r>
    </w:p>
    <w:p w:rsidR="00143BBA" w:rsidRDefault="00143BBA" w:rsidP="008D7D94">
      <w:pPr>
        <w:ind w:firstLine="709"/>
        <w:jc w:val="both"/>
        <w:rPr>
          <w:sz w:val="28"/>
          <w:lang w:val="uk-UA"/>
        </w:rPr>
      </w:pPr>
      <w:r>
        <w:rPr>
          <w:sz w:val="28"/>
          <w:lang w:val="uk-UA"/>
        </w:rPr>
        <w:t xml:space="preserve"> В умовах нестабільної економічної ситуації, безпрецедентних заходів безпеки на державному рівні, підприємства торгівлі несуть відповідальність не тільки за виконання домовленостей з партнерами, а й громадську відповідальність перед споживачами. Вони направляють свою роботу, щоб полиці супермаркетів, невеликих торговельних підприємств були наповнені товарами першої необхідності, щоб кожен мешканець міста зміг купити необхідні йому речі. </w:t>
      </w:r>
    </w:p>
    <w:p w:rsidR="00143BBA" w:rsidRPr="004A627F" w:rsidRDefault="00143BBA" w:rsidP="008D7D94">
      <w:pPr>
        <w:ind w:firstLine="709"/>
        <w:jc w:val="both"/>
        <w:rPr>
          <w:sz w:val="28"/>
          <w:lang w:val="uk-UA"/>
        </w:rPr>
      </w:pPr>
      <w:r>
        <w:rPr>
          <w:sz w:val="28"/>
          <w:lang w:val="uk-UA"/>
        </w:rPr>
        <w:t xml:space="preserve">Департаментом надається інформація, консультація, методична допомога підприємствам сфери споживчого ринку, харчової промисловості та населенню з питань запобігання поширення гострої респіраторної хвороби </w:t>
      </w:r>
      <w:r>
        <w:rPr>
          <w:sz w:val="28"/>
          <w:lang w:val="en-US"/>
        </w:rPr>
        <w:t>COVID</w:t>
      </w:r>
      <w:r w:rsidRPr="004A627F">
        <w:rPr>
          <w:sz w:val="28"/>
          <w:lang w:val="uk-UA"/>
        </w:rPr>
        <w:t>-19.</w:t>
      </w:r>
    </w:p>
    <w:p w:rsidR="00143BBA" w:rsidRDefault="00143BBA" w:rsidP="008D7D94">
      <w:pPr>
        <w:ind w:firstLine="709"/>
        <w:jc w:val="both"/>
        <w:rPr>
          <w:sz w:val="28"/>
          <w:lang w:val="uk-UA"/>
        </w:rPr>
      </w:pPr>
      <w:r w:rsidRPr="001704C2">
        <w:rPr>
          <w:sz w:val="28"/>
          <w:lang w:val="uk-UA"/>
        </w:rPr>
        <w:t xml:space="preserve">Проводиться робота щодо впровадження у підприємствах ресторанного господарства традицій та особливостей національних кухонь. Зараз у місті Харкові працюють </w:t>
      </w:r>
      <w:r w:rsidRPr="005D58BE">
        <w:rPr>
          <w:sz w:val="28"/>
          <w:lang w:val="uk-UA"/>
        </w:rPr>
        <w:t>1</w:t>
      </w:r>
      <w:r>
        <w:rPr>
          <w:sz w:val="28"/>
          <w:lang w:val="uk-UA"/>
        </w:rPr>
        <w:t>4</w:t>
      </w:r>
      <w:r w:rsidRPr="005D58BE">
        <w:rPr>
          <w:sz w:val="28"/>
          <w:lang w:val="uk-UA"/>
        </w:rPr>
        <w:t>0</w:t>
      </w:r>
      <w:r w:rsidRPr="001704C2">
        <w:rPr>
          <w:sz w:val="28"/>
          <w:lang w:val="uk-UA"/>
        </w:rPr>
        <w:t xml:space="preserve"> таких підприємств, в яких представлені: грузинська, вірменська, азербайджанська, узбецька, арабська, турецька, єврейська, японська, китайська, в’єтнамська, італійська, індійська, мексиканська кухні.</w:t>
      </w:r>
    </w:p>
    <w:p w:rsidR="00143BBA" w:rsidRPr="001704C2" w:rsidRDefault="00143BBA" w:rsidP="008D7D94">
      <w:pPr>
        <w:ind w:firstLine="709"/>
        <w:jc w:val="both"/>
        <w:rPr>
          <w:sz w:val="28"/>
          <w:szCs w:val="28"/>
          <w:lang w:val="uk-UA"/>
        </w:rPr>
      </w:pPr>
      <w:r w:rsidRPr="001704C2">
        <w:rPr>
          <w:sz w:val="28"/>
          <w:szCs w:val="28"/>
          <w:lang w:val="uk-UA"/>
        </w:rPr>
        <w:t xml:space="preserve">На території міста сфера побутових послуг нараховує понад 40 видів діяльності і надає близько 900 різних послуг, багато з яких знов організовані. </w:t>
      </w:r>
    </w:p>
    <w:p w:rsidR="00143BBA" w:rsidRPr="001704C2" w:rsidRDefault="00143BBA" w:rsidP="008D7D94">
      <w:pPr>
        <w:pStyle w:val="Heading1"/>
        <w:ind w:firstLine="709"/>
        <w:jc w:val="both"/>
        <w:rPr>
          <w:sz w:val="28"/>
          <w:lang w:val="uk-UA"/>
        </w:rPr>
      </w:pPr>
      <w:r w:rsidRPr="001704C2">
        <w:rPr>
          <w:sz w:val="28"/>
          <w:szCs w:val="28"/>
          <w:lang w:val="uk-UA"/>
        </w:rPr>
        <w:t xml:space="preserve">Одним із важливих питань є </w:t>
      </w:r>
      <w:r w:rsidRPr="001704C2">
        <w:rPr>
          <w:sz w:val="28"/>
          <w:lang w:val="uk-UA"/>
        </w:rPr>
        <w:t xml:space="preserve"> упорядкування дрібно - роздрібної торговельної мережі.</w:t>
      </w:r>
    </w:p>
    <w:p w:rsidR="00143BBA" w:rsidRDefault="00143BBA" w:rsidP="008D7D94">
      <w:pPr>
        <w:ind w:firstLine="709"/>
        <w:jc w:val="both"/>
        <w:rPr>
          <w:sz w:val="28"/>
          <w:szCs w:val="28"/>
          <w:lang w:val="uk-UA"/>
        </w:rPr>
      </w:pPr>
      <w:r w:rsidRPr="00A51A5E">
        <w:rPr>
          <w:sz w:val="28"/>
          <w:szCs w:val="28"/>
          <w:lang w:val="uk-UA"/>
        </w:rPr>
        <w:t>З метою упорядкування об’єктів дрібно-роздрібної торгівлі на території міста Харкова, відповідно до Порядку звільнення території міста Харкова від незаконно розміщених малих архітектурних форм та тимчасових споруд торговельного, побутового, соціально-культурного та іншого призначення, встановленого параграфом 5.10. Правил благоустрою території міста Харкова, затверджених рішенням Харківської міської ради від 16.11.2011 №</w:t>
      </w:r>
      <w:r>
        <w:rPr>
          <w:sz w:val="28"/>
          <w:szCs w:val="28"/>
        </w:rPr>
        <w:t> </w:t>
      </w:r>
      <w:r w:rsidRPr="00A51A5E">
        <w:rPr>
          <w:sz w:val="28"/>
          <w:szCs w:val="28"/>
          <w:lang w:val="uk-UA"/>
        </w:rPr>
        <w:t xml:space="preserve">504/11, Департаментом адміністративних послуг та споживчого ринку проведено обстеження </w:t>
      </w:r>
      <w:r>
        <w:rPr>
          <w:sz w:val="28"/>
          <w:szCs w:val="28"/>
          <w:lang w:val="uk-UA"/>
        </w:rPr>
        <w:t>271 тимчасової</w:t>
      </w:r>
      <w:r w:rsidRPr="00A51A5E">
        <w:rPr>
          <w:sz w:val="28"/>
          <w:szCs w:val="28"/>
          <w:lang w:val="uk-UA"/>
        </w:rPr>
        <w:t xml:space="preserve"> споруд</w:t>
      </w:r>
      <w:r>
        <w:rPr>
          <w:sz w:val="28"/>
          <w:szCs w:val="28"/>
          <w:lang w:val="uk-UA"/>
        </w:rPr>
        <w:t>и</w:t>
      </w:r>
      <w:r w:rsidRPr="00A51A5E">
        <w:rPr>
          <w:sz w:val="28"/>
          <w:szCs w:val="28"/>
          <w:lang w:val="uk-UA"/>
        </w:rPr>
        <w:t xml:space="preserve">. </w:t>
      </w:r>
      <w:r>
        <w:rPr>
          <w:sz w:val="28"/>
          <w:szCs w:val="28"/>
        </w:rPr>
        <w:t xml:space="preserve">За результатами </w:t>
      </w:r>
      <w:r w:rsidRPr="00A51A5E">
        <w:rPr>
          <w:sz w:val="28"/>
          <w:szCs w:val="28"/>
          <w:lang w:val="uk-UA"/>
        </w:rPr>
        <w:t>обстежень направлено листи до Департаменту територіального контролю для підготовки відповідних проектів рішень виконавчого комітету з даного питання.</w:t>
      </w:r>
    </w:p>
    <w:p w:rsidR="00143BBA" w:rsidRPr="0010703B" w:rsidRDefault="00143BBA" w:rsidP="008D7D9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Pr>
          <w:sz w:val="28"/>
          <w:szCs w:val="28"/>
          <w:lang w:val="uk-UA"/>
        </w:rPr>
        <w:t xml:space="preserve">Одним з важливих напрямів </w:t>
      </w:r>
      <w:r w:rsidRPr="0010703B">
        <w:rPr>
          <w:sz w:val="28"/>
          <w:szCs w:val="28"/>
          <w:lang w:val="uk-UA"/>
        </w:rPr>
        <w:t>діяльності Департаменту є спільна робота з керівниками ринків по вдосконаленню роботи ринків і торгових майданчиків, створенню сучасних торгових комплексів європейського класу з розвиненою інфраструктурою, організації процесів обслуговування населення на високому рівні, розширенню асортименту запропонованої продукції, впровадженню прогресивної технології  товарообігу за рахунок поліпшення матеріально-технічної бази.</w:t>
      </w:r>
    </w:p>
    <w:p w:rsidR="00143BBA" w:rsidRDefault="00143BBA" w:rsidP="008D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10703B">
        <w:rPr>
          <w:sz w:val="28"/>
          <w:szCs w:val="28"/>
          <w:lang w:val="uk-UA"/>
        </w:rPr>
        <w:t xml:space="preserve">В цілому по місту, </w:t>
      </w:r>
      <w:r>
        <w:rPr>
          <w:sz w:val="28"/>
          <w:szCs w:val="28"/>
          <w:lang w:val="uk-UA"/>
        </w:rPr>
        <w:t>спільно</w:t>
      </w:r>
      <w:r w:rsidRPr="0010703B">
        <w:rPr>
          <w:sz w:val="28"/>
          <w:szCs w:val="28"/>
          <w:lang w:val="uk-UA"/>
        </w:rPr>
        <w:t xml:space="preserve"> з керівни</w:t>
      </w:r>
      <w:r>
        <w:rPr>
          <w:sz w:val="28"/>
          <w:szCs w:val="28"/>
          <w:lang w:val="uk-UA"/>
        </w:rPr>
        <w:t>ками</w:t>
      </w:r>
      <w:r w:rsidRPr="0010703B">
        <w:rPr>
          <w:sz w:val="28"/>
          <w:szCs w:val="28"/>
          <w:lang w:val="uk-UA"/>
        </w:rPr>
        <w:t xml:space="preserve"> ринків та торговельних майданчиків, розроблено міський Перспективний план розвитку матеріально-технічної бази ринків на 20</w:t>
      </w:r>
      <w:r>
        <w:rPr>
          <w:sz w:val="28"/>
          <w:szCs w:val="28"/>
          <w:lang w:val="uk-UA"/>
        </w:rPr>
        <w:t>20</w:t>
      </w:r>
      <w:r w:rsidRPr="0010703B">
        <w:rPr>
          <w:sz w:val="28"/>
          <w:szCs w:val="28"/>
          <w:lang w:val="uk-UA"/>
        </w:rPr>
        <w:t xml:space="preserve"> рік, який передбачав цілий комплекс заходів </w:t>
      </w:r>
      <w:r>
        <w:rPr>
          <w:sz w:val="28"/>
          <w:szCs w:val="28"/>
          <w:lang w:val="uk-UA"/>
        </w:rPr>
        <w:t>щодо реконструкції, будівництва</w:t>
      </w:r>
      <w:r w:rsidRPr="0010703B">
        <w:rPr>
          <w:sz w:val="28"/>
          <w:szCs w:val="28"/>
          <w:lang w:val="uk-UA"/>
        </w:rPr>
        <w:t xml:space="preserve"> об'єктів торгівлі, підприємств, побутового </w:t>
      </w:r>
      <w:r>
        <w:rPr>
          <w:sz w:val="28"/>
          <w:szCs w:val="28"/>
          <w:lang w:val="uk-UA"/>
        </w:rPr>
        <w:t>обслуговування населення, заміни</w:t>
      </w:r>
      <w:r w:rsidRPr="0010703B">
        <w:rPr>
          <w:sz w:val="28"/>
          <w:szCs w:val="28"/>
          <w:lang w:val="uk-UA"/>
        </w:rPr>
        <w:t xml:space="preserve"> торгового і холодильного устаткуван</w:t>
      </w:r>
      <w:r>
        <w:rPr>
          <w:sz w:val="28"/>
          <w:szCs w:val="28"/>
          <w:lang w:val="uk-UA"/>
        </w:rPr>
        <w:t>ня, ремонту фасадів, будівництва автопаркінгів, естетичного оформлення</w:t>
      </w:r>
      <w:r w:rsidRPr="0010703B">
        <w:rPr>
          <w:sz w:val="28"/>
          <w:szCs w:val="28"/>
          <w:lang w:val="uk-UA"/>
        </w:rPr>
        <w:t xml:space="preserve"> фасадних вивісо</w:t>
      </w:r>
      <w:r>
        <w:rPr>
          <w:sz w:val="28"/>
          <w:szCs w:val="28"/>
          <w:lang w:val="uk-UA"/>
        </w:rPr>
        <w:t>к, заміні ліній електропередач та</w:t>
      </w:r>
      <w:r w:rsidRPr="0010703B">
        <w:rPr>
          <w:sz w:val="28"/>
          <w:szCs w:val="28"/>
          <w:lang w:val="uk-UA"/>
        </w:rPr>
        <w:t xml:space="preserve"> інше.</w:t>
      </w:r>
    </w:p>
    <w:p w:rsidR="00143BBA" w:rsidRPr="001704C2" w:rsidRDefault="00143BBA" w:rsidP="008D7D94">
      <w:pPr>
        <w:ind w:firstLine="709"/>
        <w:jc w:val="both"/>
        <w:rPr>
          <w:sz w:val="28"/>
          <w:lang w:val="uk-UA"/>
        </w:rPr>
      </w:pPr>
      <w:r>
        <w:rPr>
          <w:sz w:val="28"/>
          <w:lang w:val="uk-UA"/>
        </w:rPr>
        <w:t>У П</w:t>
      </w:r>
      <w:r w:rsidRPr="001704C2">
        <w:rPr>
          <w:sz w:val="28"/>
          <w:lang w:val="uk-UA"/>
        </w:rPr>
        <w:t>ерспективн</w:t>
      </w:r>
      <w:r>
        <w:rPr>
          <w:sz w:val="28"/>
          <w:lang w:val="uk-UA"/>
        </w:rPr>
        <w:t>ому</w:t>
      </w:r>
      <w:r w:rsidRPr="001704C2">
        <w:rPr>
          <w:sz w:val="28"/>
          <w:lang w:val="uk-UA"/>
        </w:rPr>
        <w:t xml:space="preserve"> план</w:t>
      </w:r>
      <w:r>
        <w:rPr>
          <w:sz w:val="28"/>
          <w:lang w:val="uk-UA"/>
        </w:rPr>
        <w:t>і</w:t>
      </w:r>
      <w:r w:rsidRPr="001704C2">
        <w:rPr>
          <w:sz w:val="28"/>
          <w:lang w:val="uk-UA"/>
        </w:rPr>
        <w:t xml:space="preserve"> розвитку матеріально-технічної бази ринків та торговельних майданчиків в цілому по місту на 20</w:t>
      </w:r>
      <w:r>
        <w:rPr>
          <w:sz w:val="28"/>
          <w:lang w:val="uk-UA"/>
        </w:rPr>
        <w:t>20</w:t>
      </w:r>
      <w:r w:rsidRPr="001704C2">
        <w:rPr>
          <w:sz w:val="28"/>
          <w:lang w:val="uk-UA"/>
        </w:rPr>
        <w:t xml:space="preserve"> рік</w:t>
      </w:r>
      <w:r>
        <w:rPr>
          <w:sz w:val="28"/>
          <w:lang w:val="uk-UA"/>
        </w:rPr>
        <w:t xml:space="preserve"> керівниками ринків та торговельних майданчиків разом з підприємцями, які здійснюють діяльність на відповідній території,</w:t>
      </w:r>
      <w:r w:rsidRPr="001704C2">
        <w:rPr>
          <w:sz w:val="28"/>
          <w:lang w:val="uk-UA"/>
        </w:rPr>
        <w:t xml:space="preserve"> заплановано кошти в сумі </w:t>
      </w:r>
      <w:r>
        <w:rPr>
          <w:sz w:val="28"/>
          <w:lang w:val="uk-UA"/>
        </w:rPr>
        <w:t xml:space="preserve">               76166,6</w:t>
      </w:r>
      <w:r w:rsidRPr="001704C2">
        <w:rPr>
          <w:sz w:val="28"/>
          <w:lang w:val="uk-UA"/>
        </w:rPr>
        <w:t xml:space="preserve"> тис. грн, </w:t>
      </w:r>
      <w:r>
        <w:rPr>
          <w:sz w:val="28"/>
          <w:lang w:val="uk-UA"/>
        </w:rPr>
        <w:t xml:space="preserve">на </w:t>
      </w:r>
      <w:r>
        <w:rPr>
          <w:sz w:val="28"/>
          <w:lang w:val="en-US"/>
        </w:rPr>
        <w:t>I</w:t>
      </w:r>
      <w:r>
        <w:rPr>
          <w:sz w:val="28"/>
          <w:lang w:val="uk-UA"/>
        </w:rPr>
        <w:t xml:space="preserve"> кв. 2020 р. – 9408,8 тис. грн. Ф</w:t>
      </w:r>
      <w:r w:rsidRPr="001704C2">
        <w:rPr>
          <w:sz w:val="28"/>
          <w:lang w:val="uk-UA"/>
        </w:rPr>
        <w:t xml:space="preserve">актично освоєно </w:t>
      </w:r>
      <w:r>
        <w:rPr>
          <w:sz w:val="28"/>
          <w:lang w:val="uk-UA"/>
        </w:rPr>
        <w:t xml:space="preserve">у </w:t>
      </w:r>
      <w:r>
        <w:rPr>
          <w:sz w:val="28"/>
          <w:lang w:val="en-US"/>
        </w:rPr>
        <w:t>I</w:t>
      </w:r>
      <w:r>
        <w:rPr>
          <w:sz w:val="28"/>
          <w:lang w:val="uk-UA"/>
        </w:rPr>
        <w:t xml:space="preserve"> кв. 2020 р. </w:t>
      </w:r>
      <w:r w:rsidRPr="001704C2">
        <w:rPr>
          <w:sz w:val="28"/>
          <w:lang w:val="uk-UA"/>
        </w:rPr>
        <w:t xml:space="preserve">– </w:t>
      </w:r>
      <w:r>
        <w:rPr>
          <w:sz w:val="28"/>
          <w:lang w:val="uk-UA"/>
        </w:rPr>
        <w:t>7906,9</w:t>
      </w:r>
      <w:r w:rsidRPr="001704C2">
        <w:rPr>
          <w:sz w:val="28"/>
          <w:lang w:val="uk-UA"/>
        </w:rPr>
        <w:t xml:space="preserve"> тис. грн</w:t>
      </w:r>
      <w:r>
        <w:rPr>
          <w:sz w:val="28"/>
          <w:lang w:val="uk-UA"/>
        </w:rPr>
        <w:t xml:space="preserve">, </w:t>
      </w:r>
      <w:r w:rsidRPr="001704C2">
        <w:rPr>
          <w:sz w:val="28"/>
          <w:lang w:val="uk-UA"/>
        </w:rPr>
        <w:t xml:space="preserve">що на </w:t>
      </w:r>
      <w:r>
        <w:rPr>
          <w:sz w:val="28"/>
          <w:lang w:val="uk-UA"/>
        </w:rPr>
        <w:t>16,0</w:t>
      </w:r>
      <w:r w:rsidRPr="001704C2">
        <w:rPr>
          <w:sz w:val="28"/>
          <w:lang w:val="uk-UA"/>
        </w:rPr>
        <w:t xml:space="preserve">% або на </w:t>
      </w:r>
      <w:r>
        <w:rPr>
          <w:sz w:val="28"/>
          <w:lang w:val="uk-UA"/>
        </w:rPr>
        <w:t>1501,9</w:t>
      </w:r>
      <w:r w:rsidRPr="001704C2">
        <w:rPr>
          <w:sz w:val="28"/>
          <w:lang w:val="uk-UA"/>
        </w:rPr>
        <w:t xml:space="preserve"> тис. грн менше, ніж передбачалося.  Кошти були витрачено на:</w:t>
      </w:r>
    </w:p>
    <w:p w:rsidR="00143BBA" w:rsidRPr="001704C2" w:rsidRDefault="00143BBA" w:rsidP="008D7D94">
      <w:pPr>
        <w:numPr>
          <w:ilvl w:val="0"/>
          <w:numId w:val="1"/>
        </w:numPr>
        <w:jc w:val="both"/>
        <w:rPr>
          <w:sz w:val="28"/>
          <w:lang w:val="uk-UA"/>
        </w:rPr>
      </w:pPr>
      <w:r w:rsidRPr="001704C2">
        <w:rPr>
          <w:sz w:val="28"/>
          <w:lang w:val="uk-UA"/>
        </w:rPr>
        <w:t xml:space="preserve">реконструкцію –  </w:t>
      </w:r>
      <w:r>
        <w:rPr>
          <w:sz w:val="28"/>
          <w:lang w:val="uk-UA"/>
        </w:rPr>
        <w:t>2429,0</w:t>
      </w:r>
      <w:r w:rsidRPr="001704C2">
        <w:rPr>
          <w:sz w:val="28"/>
          <w:lang w:val="uk-UA"/>
        </w:rPr>
        <w:t xml:space="preserve"> тис. грн;</w:t>
      </w:r>
    </w:p>
    <w:p w:rsidR="00143BBA" w:rsidRPr="001704C2" w:rsidRDefault="00143BBA" w:rsidP="008D7D94">
      <w:pPr>
        <w:numPr>
          <w:ilvl w:val="0"/>
          <w:numId w:val="1"/>
        </w:numPr>
        <w:jc w:val="both"/>
        <w:rPr>
          <w:sz w:val="28"/>
          <w:lang w:val="uk-UA"/>
        </w:rPr>
      </w:pPr>
      <w:r w:rsidRPr="001704C2">
        <w:rPr>
          <w:sz w:val="28"/>
          <w:lang w:val="uk-UA"/>
        </w:rPr>
        <w:t xml:space="preserve">ремонтні роботи – </w:t>
      </w:r>
      <w:r>
        <w:rPr>
          <w:sz w:val="28"/>
          <w:lang w:val="uk-UA"/>
        </w:rPr>
        <w:t>976,4</w:t>
      </w:r>
      <w:r w:rsidRPr="001704C2">
        <w:rPr>
          <w:b/>
          <w:sz w:val="28"/>
          <w:lang w:val="uk-UA"/>
        </w:rPr>
        <w:t xml:space="preserve"> </w:t>
      </w:r>
      <w:r w:rsidRPr="001704C2">
        <w:rPr>
          <w:sz w:val="28"/>
          <w:lang w:val="uk-UA"/>
        </w:rPr>
        <w:t>тис. грн;</w:t>
      </w:r>
    </w:p>
    <w:p w:rsidR="00143BBA" w:rsidRPr="001704C2" w:rsidRDefault="00143BBA" w:rsidP="008D7D94">
      <w:pPr>
        <w:numPr>
          <w:ilvl w:val="0"/>
          <w:numId w:val="1"/>
        </w:numPr>
        <w:jc w:val="both"/>
        <w:rPr>
          <w:sz w:val="28"/>
          <w:lang w:val="uk-UA"/>
        </w:rPr>
      </w:pPr>
      <w:r w:rsidRPr="001704C2">
        <w:rPr>
          <w:sz w:val="28"/>
          <w:lang w:val="uk-UA"/>
        </w:rPr>
        <w:t xml:space="preserve">будівництво – </w:t>
      </w:r>
      <w:r>
        <w:rPr>
          <w:sz w:val="28"/>
          <w:lang w:val="uk-UA"/>
        </w:rPr>
        <w:t>1131,0</w:t>
      </w:r>
      <w:r w:rsidRPr="001704C2">
        <w:rPr>
          <w:sz w:val="28"/>
          <w:lang w:val="uk-UA"/>
        </w:rPr>
        <w:t xml:space="preserve"> тис. грн;</w:t>
      </w:r>
    </w:p>
    <w:p w:rsidR="00143BBA" w:rsidRPr="001704C2" w:rsidRDefault="00143BBA" w:rsidP="008D7D94">
      <w:pPr>
        <w:numPr>
          <w:ilvl w:val="0"/>
          <w:numId w:val="1"/>
        </w:numPr>
        <w:jc w:val="both"/>
        <w:rPr>
          <w:sz w:val="28"/>
          <w:lang w:val="uk-UA"/>
        </w:rPr>
      </w:pPr>
      <w:r w:rsidRPr="001704C2">
        <w:rPr>
          <w:sz w:val="28"/>
          <w:lang w:val="uk-UA"/>
        </w:rPr>
        <w:t xml:space="preserve">організацію, облаштування торгових зон, підприємств та об’єктів торгівлі – </w:t>
      </w:r>
      <w:r>
        <w:rPr>
          <w:sz w:val="28"/>
          <w:lang w:val="uk-UA"/>
        </w:rPr>
        <w:t>1587,4</w:t>
      </w:r>
      <w:r w:rsidRPr="001704C2">
        <w:rPr>
          <w:sz w:val="28"/>
          <w:lang w:val="uk-UA"/>
        </w:rPr>
        <w:t xml:space="preserve"> тис. грн;</w:t>
      </w:r>
    </w:p>
    <w:p w:rsidR="00143BBA" w:rsidRPr="001704C2" w:rsidRDefault="00143BBA" w:rsidP="008D7D94">
      <w:pPr>
        <w:numPr>
          <w:ilvl w:val="0"/>
          <w:numId w:val="1"/>
        </w:numPr>
        <w:jc w:val="both"/>
        <w:rPr>
          <w:sz w:val="28"/>
          <w:lang w:val="uk-UA"/>
        </w:rPr>
      </w:pPr>
      <w:r w:rsidRPr="001704C2">
        <w:rPr>
          <w:sz w:val="28"/>
          <w:lang w:val="uk-UA"/>
        </w:rPr>
        <w:t xml:space="preserve">придбання обладнання, санітарного та спеціального одягу, інвентарю – </w:t>
      </w:r>
      <w:r>
        <w:rPr>
          <w:sz w:val="28"/>
          <w:lang w:val="uk-UA"/>
        </w:rPr>
        <w:t>934,0</w:t>
      </w:r>
      <w:r w:rsidRPr="001704C2">
        <w:rPr>
          <w:sz w:val="28"/>
          <w:lang w:val="uk-UA"/>
        </w:rPr>
        <w:t xml:space="preserve"> тис. грн;</w:t>
      </w:r>
    </w:p>
    <w:p w:rsidR="00143BBA" w:rsidRPr="001704C2" w:rsidRDefault="00143BBA" w:rsidP="008D7D94">
      <w:pPr>
        <w:numPr>
          <w:ilvl w:val="0"/>
          <w:numId w:val="1"/>
        </w:numPr>
        <w:jc w:val="both"/>
        <w:rPr>
          <w:sz w:val="28"/>
          <w:lang w:val="uk-UA"/>
        </w:rPr>
      </w:pPr>
      <w:r w:rsidRPr="001704C2">
        <w:rPr>
          <w:sz w:val="28"/>
          <w:lang w:val="uk-UA"/>
        </w:rPr>
        <w:t>благоустрій територій –</w:t>
      </w:r>
      <w:r>
        <w:rPr>
          <w:sz w:val="28"/>
          <w:lang w:val="uk-UA"/>
        </w:rPr>
        <w:t xml:space="preserve"> 849,1</w:t>
      </w:r>
      <w:r w:rsidRPr="001704C2">
        <w:rPr>
          <w:sz w:val="28"/>
          <w:lang w:val="uk-UA"/>
        </w:rPr>
        <w:t xml:space="preserve"> тис. грн.</w:t>
      </w:r>
    </w:p>
    <w:p w:rsidR="00143BBA" w:rsidRPr="001704C2" w:rsidRDefault="00143BBA" w:rsidP="008D7D94">
      <w:pPr>
        <w:tabs>
          <w:tab w:val="left" w:pos="8077"/>
        </w:tabs>
        <w:ind w:firstLine="720"/>
        <w:jc w:val="both"/>
        <w:rPr>
          <w:sz w:val="28"/>
          <w:szCs w:val="28"/>
          <w:lang w:val="uk-UA"/>
        </w:rPr>
      </w:pPr>
      <w:r w:rsidRPr="001704C2">
        <w:rPr>
          <w:sz w:val="28"/>
          <w:lang w:val="uk-UA"/>
        </w:rPr>
        <w:t xml:space="preserve">Невиконання Перспективного плану розвитку матеріально-технічної бази за </w:t>
      </w:r>
      <w:r>
        <w:rPr>
          <w:sz w:val="28"/>
          <w:lang w:val="en-US"/>
        </w:rPr>
        <w:t>I</w:t>
      </w:r>
      <w:r>
        <w:rPr>
          <w:sz w:val="28"/>
          <w:lang w:val="uk-UA"/>
        </w:rPr>
        <w:t xml:space="preserve"> кв. 2020 р. по</w:t>
      </w:r>
      <w:r w:rsidRPr="001704C2">
        <w:rPr>
          <w:sz w:val="28"/>
          <w:lang w:val="uk-UA"/>
        </w:rPr>
        <w:t>в’язано з тимчасовою відсутністю фінансування,</w:t>
      </w:r>
      <w:r w:rsidRPr="001704C2">
        <w:rPr>
          <w:sz w:val="28"/>
          <w:szCs w:val="28"/>
          <w:lang w:val="uk-UA"/>
        </w:rPr>
        <w:t xml:space="preserve"> як у керівників ринків, так і у суб’єктів підприємницької діяльності, які здійснюють торгівлю на ринках.</w:t>
      </w:r>
      <w:r>
        <w:rPr>
          <w:sz w:val="28"/>
          <w:szCs w:val="28"/>
          <w:lang w:val="uk-UA"/>
        </w:rPr>
        <w:t xml:space="preserve"> Крім того, вплинуло введення карантинних заходів </w:t>
      </w:r>
      <w:r>
        <w:rPr>
          <w:sz w:val="28"/>
          <w:lang w:val="uk-UA"/>
        </w:rPr>
        <w:t xml:space="preserve">в зв’язку з поширенням на території України гострої респіраторної хвороби </w:t>
      </w:r>
      <w:r>
        <w:rPr>
          <w:sz w:val="28"/>
          <w:lang w:val="en-US"/>
        </w:rPr>
        <w:t>COVID</w:t>
      </w:r>
      <w:r>
        <w:rPr>
          <w:sz w:val="28"/>
          <w:lang w:val="uk-UA"/>
        </w:rPr>
        <w:t>-19.</w:t>
      </w:r>
    </w:p>
    <w:p w:rsidR="00143BBA" w:rsidRPr="001704C2" w:rsidRDefault="00143BBA" w:rsidP="008D7D94">
      <w:pPr>
        <w:ind w:firstLine="709"/>
        <w:jc w:val="both"/>
        <w:rPr>
          <w:sz w:val="28"/>
          <w:szCs w:val="28"/>
          <w:lang w:val="uk-UA"/>
        </w:rPr>
      </w:pPr>
      <w:r w:rsidRPr="001704C2">
        <w:rPr>
          <w:sz w:val="28"/>
          <w:szCs w:val="28"/>
          <w:lang w:val="uk-UA"/>
        </w:rPr>
        <w:t xml:space="preserve">Перетворення ринків у сучасні торговельно - сервісні комплекси пов’язано з необхідністю будівництва нових стаціонарних підприємств торгівлі, ресторанного господарства та побутового обслуговування населення одночасно з проведенням реконструкції раніше побудованих об’єктів. </w:t>
      </w:r>
    </w:p>
    <w:p w:rsidR="00143BBA" w:rsidRPr="001704C2" w:rsidRDefault="00143BBA" w:rsidP="008D7D94">
      <w:pPr>
        <w:ind w:firstLine="709"/>
        <w:jc w:val="both"/>
        <w:rPr>
          <w:sz w:val="28"/>
          <w:szCs w:val="28"/>
          <w:lang w:val="uk-UA"/>
        </w:rPr>
      </w:pPr>
      <w:r w:rsidRPr="001704C2">
        <w:rPr>
          <w:sz w:val="28"/>
          <w:szCs w:val="28"/>
          <w:lang w:val="uk-UA"/>
        </w:rPr>
        <w:t xml:space="preserve">Велика увага приділялась благоустрою прилеглих до ринків та торговельних майданчиків територій. З метою приведення ринків та торговельних майданчиків і прилеглих до них територій у належний санітарний стан, департаментом, спільно з керівниками ринків та торговельних майданчиків, розроблено міський План заходів щодо підготовки ринків до роботи у </w:t>
      </w:r>
      <w:r>
        <w:rPr>
          <w:sz w:val="28"/>
          <w:szCs w:val="28"/>
          <w:lang w:val="uk-UA"/>
        </w:rPr>
        <w:t>весняно-літній</w:t>
      </w:r>
      <w:r w:rsidRPr="001704C2">
        <w:rPr>
          <w:sz w:val="28"/>
          <w:szCs w:val="28"/>
          <w:lang w:val="uk-UA"/>
        </w:rPr>
        <w:t xml:space="preserve"> період, до якого включено:</w:t>
      </w:r>
    </w:p>
    <w:p w:rsidR="00143BBA" w:rsidRPr="001704C2" w:rsidRDefault="00143BBA" w:rsidP="008D7D94">
      <w:pPr>
        <w:numPr>
          <w:ilvl w:val="0"/>
          <w:numId w:val="3"/>
        </w:numPr>
        <w:jc w:val="both"/>
        <w:rPr>
          <w:sz w:val="28"/>
          <w:szCs w:val="28"/>
          <w:lang w:val="uk-UA"/>
        </w:rPr>
      </w:pPr>
      <w:r w:rsidRPr="001704C2">
        <w:rPr>
          <w:sz w:val="28"/>
          <w:szCs w:val="28"/>
          <w:lang w:val="uk-UA"/>
        </w:rPr>
        <w:t xml:space="preserve">проведення комплексного прибирання територій усіх ринків та торговельних майданчиків після осіннє-зимового періоду; </w:t>
      </w:r>
    </w:p>
    <w:p w:rsidR="00143BBA" w:rsidRPr="001704C2" w:rsidRDefault="00143BBA" w:rsidP="008D7D94">
      <w:pPr>
        <w:numPr>
          <w:ilvl w:val="0"/>
          <w:numId w:val="3"/>
        </w:numPr>
        <w:jc w:val="both"/>
        <w:rPr>
          <w:sz w:val="28"/>
          <w:szCs w:val="28"/>
          <w:lang w:val="uk-UA"/>
        </w:rPr>
      </w:pPr>
      <w:r w:rsidRPr="001704C2">
        <w:rPr>
          <w:sz w:val="28"/>
          <w:szCs w:val="28"/>
          <w:lang w:val="uk-UA"/>
        </w:rPr>
        <w:t>ремонт асфальтового покриття, критих корпусів, торгових місць та об’єктів дрібно-роздрібної торгівлі;</w:t>
      </w:r>
    </w:p>
    <w:p w:rsidR="00143BBA" w:rsidRPr="001704C2" w:rsidRDefault="00143BBA" w:rsidP="008D7D94">
      <w:pPr>
        <w:numPr>
          <w:ilvl w:val="0"/>
          <w:numId w:val="3"/>
        </w:numPr>
        <w:jc w:val="both"/>
        <w:rPr>
          <w:sz w:val="28"/>
          <w:szCs w:val="28"/>
          <w:lang w:val="uk-UA"/>
        </w:rPr>
      </w:pPr>
      <w:r w:rsidRPr="001704C2">
        <w:rPr>
          <w:sz w:val="28"/>
          <w:szCs w:val="28"/>
          <w:lang w:val="uk-UA"/>
        </w:rPr>
        <w:t>оновлення фасадів магазинів, підприємств ресторанного господарства та побутового обслуговування, що розташовані на території ринків;</w:t>
      </w:r>
    </w:p>
    <w:p w:rsidR="00143BBA" w:rsidRDefault="00143BBA" w:rsidP="008D7D94">
      <w:pPr>
        <w:numPr>
          <w:ilvl w:val="0"/>
          <w:numId w:val="3"/>
        </w:numPr>
        <w:jc w:val="both"/>
        <w:rPr>
          <w:sz w:val="28"/>
          <w:szCs w:val="28"/>
          <w:lang w:val="uk-UA"/>
        </w:rPr>
      </w:pPr>
      <w:r w:rsidRPr="001704C2">
        <w:rPr>
          <w:sz w:val="28"/>
          <w:szCs w:val="28"/>
          <w:lang w:val="uk-UA"/>
        </w:rPr>
        <w:t xml:space="preserve">облаштування, </w:t>
      </w:r>
      <w:r>
        <w:rPr>
          <w:sz w:val="28"/>
          <w:szCs w:val="28"/>
          <w:lang w:val="uk-UA"/>
        </w:rPr>
        <w:t xml:space="preserve">фарбування огорож та </w:t>
      </w:r>
      <w:r w:rsidRPr="001704C2">
        <w:rPr>
          <w:sz w:val="28"/>
          <w:szCs w:val="28"/>
          <w:lang w:val="uk-UA"/>
        </w:rPr>
        <w:t>навісів над сміттєзбірниками;</w:t>
      </w:r>
    </w:p>
    <w:p w:rsidR="00143BBA" w:rsidRDefault="00143BBA" w:rsidP="008D7D94">
      <w:pPr>
        <w:numPr>
          <w:ilvl w:val="0"/>
          <w:numId w:val="3"/>
        </w:numPr>
        <w:jc w:val="both"/>
        <w:rPr>
          <w:sz w:val="28"/>
          <w:szCs w:val="28"/>
          <w:lang w:val="uk-UA"/>
        </w:rPr>
      </w:pPr>
      <w:r w:rsidRPr="001704C2">
        <w:rPr>
          <w:sz w:val="28"/>
          <w:szCs w:val="28"/>
          <w:lang w:val="uk-UA"/>
        </w:rPr>
        <w:t>благоустрій прилеглої території, тощо.</w:t>
      </w:r>
    </w:p>
    <w:p w:rsidR="00143BBA" w:rsidRPr="001704C2" w:rsidRDefault="00143BBA" w:rsidP="008D7D94">
      <w:pPr>
        <w:ind w:left="786"/>
        <w:jc w:val="both"/>
        <w:rPr>
          <w:sz w:val="28"/>
          <w:szCs w:val="28"/>
          <w:lang w:val="uk-UA"/>
        </w:rPr>
      </w:pPr>
      <w:r>
        <w:rPr>
          <w:sz w:val="28"/>
          <w:szCs w:val="28"/>
          <w:lang w:val="uk-UA"/>
        </w:rPr>
        <w:t>Заплановані заходи виконуються згідно з Планом.</w:t>
      </w:r>
    </w:p>
    <w:p w:rsidR="00143BBA" w:rsidRPr="001704C2" w:rsidRDefault="00143BBA" w:rsidP="008D7D94">
      <w:pPr>
        <w:ind w:firstLine="786"/>
        <w:jc w:val="both"/>
        <w:rPr>
          <w:sz w:val="28"/>
          <w:szCs w:val="28"/>
          <w:lang w:val="uk-UA"/>
        </w:rPr>
      </w:pPr>
      <w:r w:rsidRPr="001704C2">
        <w:rPr>
          <w:sz w:val="28"/>
          <w:szCs w:val="28"/>
          <w:lang w:val="uk-UA" w:eastAsia="en-US"/>
        </w:rPr>
        <w:t xml:space="preserve">Спеціалістами Департаменту адміністративних послуг та споживчого ринку здійснюється контроль над виконанням робіт з благоустрою об’єктів сфери споживчого ринку, ринків (торговельних майданчиків) та прилеглих до них територій. </w:t>
      </w:r>
      <w:r w:rsidRPr="001704C2">
        <w:rPr>
          <w:sz w:val="28"/>
          <w:szCs w:val="28"/>
          <w:lang w:val="uk-UA"/>
        </w:rPr>
        <w:t xml:space="preserve">    </w:t>
      </w:r>
    </w:p>
    <w:p w:rsidR="00143BBA" w:rsidRPr="001704C2" w:rsidRDefault="00143BBA" w:rsidP="008D7D94">
      <w:pPr>
        <w:ind w:firstLine="709"/>
        <w:jc w:val="both"/>
        <w:rPr>
          <w:sz w:val="28"/>
          <w:lang w:val="uk-UA"/>
        </w:rPr>
      </w:pPr>
      <w:r w:rsidRPr="001704C2">
        <w:rPr>
          <w:sz w:val="28"/>
          <w:lang w:val="uk-UA"/>
        </w:rPr>
        <w:t xml:space="preserve">Департаментом, спільно з керівниками підприємств галузі, проводилась робота, спрямована на поліпшення організації обслуговування громадян пільгових категорій. </w:t>
      </w:r>
    </w:p>
    <w:p w:rsidR="00143BBA" w:rsidRPr="001704C2" w:rsidRDefault="00143BBA" w:rsidP="008D7D94">
      <w:pPr>
        <w:ind w:firstLine="360"/>
        <w:jc w:val="both"/>
        <w:rPr>
          <w:sz w:val="28"/>
          <w:lang w:val="uk-UA"/>
        </w:rPr>
      </w:pPr>
      <w:r w:rsidRPr="001704C2">
        <w:rPr>
          <w:sz w:val="28"/>
          <w:lang w:val="uk-UA"/>
        </w:rPr>
        <w:t xml:space="preserve">     </w:t>
      </w:r>
      <w:r>
        <w:rPr>
          <w:sz w:val="28"/>
          <w:lang w:val="uk-UA"/>
        </w:rPr>
        <w:t>В</w:t>
      </w:r>
      <w:r w:rsidRPr="001704C2">
        <w:rPr>
          <w:sz w:val="28"/>
          <w:lang w:val="uk-UA"/>
        </w:rPr>
        <w:t xml:space="preserve"> місті практично всі супермаркети </w:t>
      </w:r>
      <w:r>
        <w:rPr>
          <w:sz w:val="28"/>
          <w:lang w:val="uk-UA"/>
        </w:rPr>
        <w:t xml:space="preserve">на постійній основі </w:t>
      </w:r>
      <w:r w:rsidRPr="001704C2">
        <w:rPr>
          <w:sz w:val="28"/>
          <w:lang w:val="uk-UA"/>
        </w:rPr>
        <w:t xml:space="preserve">реалізують продовольчі та непродовольчі товари широкого асортименту за оптовими цінами або із знижками у визначений час, працюють спеціалізовані відділи щодо обслуговування пільговиків продовольчими товарами за цінами виробників. </w:t>
      </w:r>
    </w:p>
    <w:p w:rsidR="00143BBA" w:rsidRPr="001704C2" w:rsidRDefault="00143BBA" w:rsidP="008D7D94">
      <w:pPr>
        <w:ind w:firstLine="709"/>
        <w:jc w:val="both"/>
        <w:rPr>
          <w:sz w:val="28"/>
          <w:lang w:val="uk-UA"/>
        </w:rPr>
      </w:pPr>
      <w:r w:rsidRPr="001704C2">
        <w:rPr>
          <w:sz w:val="28"/>
          <w:lang w:val="uk-UA"/>
        </w:rPr>
        <w:t>З метою недопущення несанкціонованої торгівлі, на території ринків організовано торговельні об’єкти для соціально – незахищених громадян, які можуть здійснювати торгівлю на пільгових умовах. Кількість таких об’єктів складає 1149 од.</w:t>
      </w:r>
    </w:p>
    <w:p w:rsidR="00143BBA" w:rsidRPr="001704C2" w:rsidRDefault="00143BBA" w:rsidP="008D7D94">
      <w:pPr>
        <w:ind w:firstLine="709"/>
        <w:jc w:val="both"/>
        <w:rPr>
          <w:sz w:val="28"/>
          <w:lang w:val="uk-UA"/>
        </w:rPr>
      </w:pPr>
      <w:r w:rsidRPr="001704C2">
        <w:rPr>
          <w:sz w:val="28"/>
          <w:lang w:val="uk-UA"/>
        </w:rPr>
        <w:t xml:space="preserve">За </w:t>
      </w:r>
      <w:r>
        <w:rPr>
          <w:sz w:val="28"/>
          <w:lang w:val="en-US"/>
        </w:rPr>
        <w:t>I</w:t>
      </w:r>
      <w:r>
        <w:rPr>
          <w:sz w:val="28"/>
          <w:lang w:val="uk-UA"/>
        </w:rPr>
        <w:t xml:space="preserve"> кв. 2020 р. </w:t>
      </w:r>
      <w:r w:rsidRPr="001704C2">
        <w:rPr>
          <w:sz w:val="28"/>
          <w:lang w:val="uk-UA"/>
        </w:rPr>
        <w:t>підприємствами побутового обслуговування, на умовах благодійності, надано побутових послуг</w:t>
      </w:r>
      <w:r w:rsidRPr="001704C2">
        <w:rPr>
          <w:b/>
          <w:sz w:val="28"/>
          <w:lang w:val="uk-UA"/>
        </w:rPr>
        <w:t xml:space="preserve"> </w:t>
      </w:r>
      <w:r w:rsidRPr="005C0838">
        <w:rPr>
          <w:sz w:val="28"/>
          <w:lang w:val="uk-UA"/>
        </w:rPr>
        <w:t>1358</w:t>
      </w:r>
      <w:r>
        <w:rPr>
          <w:b/>
          <w:sz w:val="28"/>
          <w:lang w:val="uk-UA"/>
        </w:rPr>
        <w:t xml:space="preserve"> </w:t>
      </w:r>
      <w:r>
        <w:rPr>
          <w:sz w:val="28"/>
          <w:lang w:val="uk-UA"/>
        </w:rPr>
        <w:t>малозабезпеченим громадянам</w:t>
      </w:r>
      <w:r w:rsidRPr="001704C2">
        <w:rPr>
          <w:sz w:val="28"/>
          <w:lang w:val="uk-UA"/>
        </w:rPr>
        <w:t xml:space="preserve"> (перукарські послуги, послуги лазень, з ремонту взуття, окулярів, одягу та інші) на суму </w:t>
      </w:r>
      <w:r>
        <w:rPr>
          <w:sz w:val="28"/>
          <w:lang w:val="uk-UA"/>
        </w:rPr>
        <w:t>51,2</w:t>
      </w:r>
      <w:r w:rsidRPr="001704C2">
        <w:rPr>
          <w:b/>
          <w:sz w:val="28"/>
          <w:lang w:val="uk-UA"/>
        </w:rPr>
        <w:t xml:space="preserve"> </w:t>
      </w:r>
      <w:r w:rsidRPr="001704C2">
        <w:rPr>
          <w:sz w:val="28"/>
          <w:lang w:val="uk-UA"/>
        </w:rPr>
        <w:t>тис. грн</w:t>
      </w:r>
      <w:r>
        <w:rPr>
          <w:sz w:val="28"/>
          <w:lang w:val="uk-UA"/>
        </w:rPr>
        <w:t>.</w:t>
      </w:r>
    </w:p>
    <w:p w:rsidR="00143BBA" w:rsidRPr="002A0BB4" w:rsidRDefault="00143BBA" w:rsidP="00974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lang w:val="uk-UA"/>
        </w:rPr>
      </w:pPr>
      <w:r w:rsidRPr="002A0BB4">
        <w:rPr>
          <w:sz w:val="28"/>
          <w:szCs w:val="28"/>
          <w:lang w:val="uk-UA"/>
        </w:rPr>
        <w:t xml:space="preserve">Комунальними підприємствами, функціонально підпорядкованими департаменту, забезпечувались заходи щодо підтримки незахищених верств населення. Надавалися благодійні послуги з прокату мобільних туалетних кабін КП «ЮНА». </w:t>
      </w:r>
      <w:r w:rsidRPr="002A0BB4">
        <w:rPr>
          <w:sz w:val="28"/>
          <w:lang w:val="uk-UA"/>
        </w:rPr>
        <w:t>Сума благочинних послуг склала 11,2 тис. грн.</w:t>
      </w:r>
    </w:p>
    <w:p w:rsidR="00143BBA" w:rsidRPr="0010703B" w:rsidRDefault="00143BBA" w:rsidP="008D7D94">
      <w:pPr>
        <w:ind w:firstLine="709"/>
        <w:jc w:val="both"/>
        <w:rPr>
          <w:noProof/>
          <w:sz w:val="28"/>
          <w:szCs w:val="24"/>
          <w:lang w:val="uk-UA"/>
        </w:rPr>
      </w:pPr>
      <w:r>
        <w:rPr>
          <w:sz w:val="28"/>
          <w:szCs w:val="28"/>
          <w:lang w:val="uk-UA"/>
        </w:rPr>
        <w:t xml:space="preserve">На підставі </w:t>
      </w:r>
      <w:r w:rsidRPr="00B23400">
        <w:rPr>
          <w:sz w:val="28"/>
          <w:szCs w:val="28"/>
          <w:lang w:val="uk-UA"/>
        </w:rPr>
        <w:t>рішення 31 сесії Харківської міської ради 7 скликання від 27.11.2019 №1846/19 «Про закріплення комунальних унітарних підприємств»,</w:t>
      </w:r>
      <w:r>
        <w:rPr>
          <w:sz w:val="28"/>
          <w:szCs w:val="28"/>
          <w:lang w:val="uk-UA"/>
        </w:rPr>
        <w:t xml:space="preserve"> </w:t>
      </w:r>
      <w:r w:rsidRPr="0010703B">
        <w:rPr>
          <w:sz w:val="28"/>
          <w:lang w:val="uk-UA"/>
        </w:rPr>
        <w:t xml:space="preserve">Департаменту адміністративних послуг і споживчого ринку </w:t>
      </w:r>
      <w:r>
        <w:rPr>
          <w:sz w:val="28"/>
          <w:lang w:val="uk-UA"/>
        </w:rPr>
        <w:t>станом на</w:t>
      </w:r>
      <w:r w:rsidRPr="0010703B">
        <w:rPr>
          <w:sz w:val="28"/>
          <w:lang w:val="uk-UA"/>
        </w:rPr>
        <w:t xml:space="preserve"> 01.0</w:t>
      </w:r>
      <w:r>
        <w:rPr>
          <w:sz w:val="28"/>
          <w:lang w:val="uk-UA"/>
        </w:rPr>
        <w:t>4</w:t>
      </w:r>
      <w:r w:rsidRPr="0010703B">
        <w:rPr>
          <w:sz w:val="28"/>
          <w:lang w:val="uk-UA"/>
        </w:rPr>
        <w:t>.20</w:t>
      </w:r>
      <w:r>
        <w:rPr>
          <w:sz w:val="28"/>
          <w:lang w:val="uk-UA"/>
        </w:rPr>
        <w:t>20</w:t>
      </w:r>
      <w:r w:rsidRPr="0010703B">
        <w:rPr>
          <w:sz w:val="28"/>
          <w:lang w:val="uk-UA"/>
        </w:rPr>
        <w:t xml:space="preserve"> функціонально підпорядковані</w:t>
      </w:r>
      <w:r>
        <w:rPr>
          <w:sz w:val="28"/>
          <w:lang w:val="uk-UA"/>
        </w:rPr>
        <w:t xml:space="preserve"> </w:t>
      </w:r>
      <w:r w:rsidRPr="0010703B">
        <w:rPr>
          <w:sz w:val="28"/>
          <w:lang w:val="uk-UA"/>
        </w:rPr>
        <w:t>комунальн</w:t>
      </w:r>
      <w:r>
        <w:rPr>
          <w:sz w:val="28"/>
          <w:lang w:val="uk-UA"/>
        </w:rPr>
        <w:t>і</w:t>
      </w:r>
      <w:r w:rsidRPr="0010703B">
        <w:rPr>
          <w:sz w:val="28"/>
          <w:lang w:val="uk-UA"/>
        </w:rPr>
        <w:t xml:space="preserve"> підприємств</w:t>
      </w:r>
      <w:r>
        <w:rPr>
          <w:sz w:val="28"/>
          <w:lang w:val="uk-UA"/>
        </w:rPr>
        <w:t>а</w:t>
      </w:r>
      <w:r w:rsidRPr="0010703B">
        <w:rPr>
          <w:sz w:val="28"/>
          <w:lang w:val="uk-UA"/>
        </w:rPr>
        <w:t>: КП «ЮНА», КП «Сігма»</w:t>
      </w:r>
      <w:r>
        <w:rPr>
          <w:sz w:val="28"/>
          <w:lang w:val="uk-UA"/>
        </w:rPr>
        <w:t xml:space="preserve"> ХМР</w:t>
      </w:r>
      <w:r w:rsidRPr="0010703B">
        <w:rPr>
          <w:sz w:val="28"/>
          <w:lang w:val="uk-UA"/>
        </w:rPr>
        <w:t>, КП «БАСТ», КП</w:t>
      </w:r>
      <w:r>
        <w:rPr>
          <w:sz w:val="28"/>
          <w:lang w:val="uk-UA"/>
        </w:rPr>
        <w:t> </w:t>
      </w:r>
      <w:r w:rsidRPr="0010703B">
        <w:rPr>
          <w:sz w:val="28"/>
          <w:lang w:val="uk-UA"/>
        </w:rPr>
        <w:t xml:space="preserve">«Підземне місто», КП </w:t>
      </w:r>
      <w:r>
        <w:rPr>
          <w:sz w:val="28"/>
          <w:lang w:val="uk-UA"/>
        </w:rPr>
        <w:t>«</w:t>
      </w:r>
      <w:r w:rsidRPr="0010703B">
        <w:rPr>
          <w:sz w:val="28"/>
          <w:lang w:val="uk-UA"/>
        </w:rPr>
        <w:t>Фото-Портал</w:t>
      </w:r>
      <w:r>
        <w:rPr>
          <w:sz w:val="28"/>
          <w:lang w:val="uk-UA"/>
        </w:rPr>
        <w:t>», КП «Міський торговий ринок».</w:t>
      </w:r>
    </w:p>
    <w:p w:rsidR="00143BBA" w:rsidRPr="001704C2" w:rsidRDefault="00143BBA" w:rsidP="008D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lang w:val="uk-UA"/>
        </w:rPr>
      </w:pPr>
      <w:r w:rsidRPr="001704C2">
        <w:rPr>
          <w:sz w:val="28"/>
          <w:lang w:val="uk-UA"/>
        </w:rPr>
        <w:t>Відповідно до положень Статутів комунальні підприємства надають наступні послуги:</w:t>
      </w:r>
    </w:p>
    <w:p w:rsidR="00143BBA" w:rsidRPr="001704C2" w:rsidRDefault="00143BBA" w:rsidP="008D7D94">
      <w:pPr>
        <w:tabs>
          <w:tab w:val="left" w:pos="851"/>
          <w:tab w:val="left" w:pos="993"/>
        </w:tabs>
        <w:ind w:firstLine="919"/>
        <w:jc w:val="both"/>
        <w:rPr>
          <w:sz w:val="28"/>
          <w:lang w:val="uk-UA"/>
        </w:rPr>
      </w:pPr>
      <w:r>
        <w:rPr>
          <w:sz w:val="28"/>
          <w:lang w:val="uk-UA"/>
        </w:rPr>
        <w:t>- забезпечуює</w:t>
      </w:r>
      <w:r w:rsidRPr="001704C2">
        <w:rPr>
          <w:sz w:val="28"/>
          <w:lang w:val="uk-UA"/>
        </w:rPr>
        <w:t xml:space="preserve"> харчуванням хворих у лікувальних установах Немишлянського району КП «Сігма</w:t>
      </w:r>
      <w:r>
        <w:rPr>
          <w:sz w:val="28"/>
          <w:lang w:val="uk-UA"/>
        </w:rPr>
        <w:t xml:space="preserve"> ХМР</w:t>
      </w:r>
      <w:r w:rsidRPr="001704C2">
        <w:rPr>
          <w:sz w:val="28"/>
          <w:lang w:val="uk-UA"/>
        </w:rPr>
        <w:t>»;</w:t>
      </w:r>
    </w:p>
    <w:p w:rsidR="00143BBA" w:rsidRPr="001704C2" w:rsidRDefault="00143BBA" w:rsidP="008D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lang w:val="uk-UA"/>
        </w:rPr>
      </w:pPr>
      <w:r w:rsidRPr="001704C2">
        <w:rPr>
          <w:sz w:val="28"/>
          <w:lang w:val="uk-UA"/>
        </w:rPr>
        <w:t xml:space="preserve">- надають послуги суб'єктам підприємницької діяльності по оформленню </w:t>
      </w:r>
      <w:r>
        <w:rPr>
          <w:sz w:val="28"/>
          <w:lang w:val="uk-UA"/>
        </w:rPr>
        <w:t>договорів оренди землі</w:t>
      </w:r>
      <w:r w:rsidRPr="001704C2">
        <w:rPr>
          <w:sz w:val="28"/>
          <w:lang w:val="uk-UA"/>
        </w:rPr>
        <w:t xml:space="preserve"> під малі архітектурні форми </w:t>
      </w:r>
      <w:r>
        <w:rPr>
          <w:sz w:val="28"/>
          <w:lang w:val="uk-UA"/>
        </w:rPr>
        <w:t xml:space="preserve">                </w:t>
      </w:r>
      <w:r w:rsidRPr="001704C2">
        <w:rPr>
          <w:sz w:val="28"/>
          <w:lang w:val="uk-UA"/>
        </w:rPr>
        <w:t>КП «ЮНА», КП «Баст»;</w:t>
      </w:r>
    </w:p>
    <w:p w:rsidR="00143BBA" w:rsidRPr="001704C2" w:rsidRDefault="00143BBA" w:rsidP="008D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lang w:val="uk-UA"/>
        </w:rPr>
      </w:pPr>
      <w:r w:rsidRPr="001704C2">
        <w:rPr>
          <w:sz w:val="28"/>
          <w:lang w:val="uk-UA"/>
        </w:rPr>
        <w:t>-  надає послуги з прокату</w:t>
      </w:r>
      <w:r>
        <w:rPr>
          <w:sz w:val="28"/>
          <w:lang w:val="uk-UA"/>
        </w:rPr>
        <w:t xml:space="preserve"> і обслуговуванню</w:t>
      </w:r>
      <w:r w:rsidRPr="001704C2">
        <w:rPr>
          <w:sz w:val="28"/>
          <w:lang w:val="uk-UA"/>
        </w:rPr>
        <w:t xml:space="preserve"> мобільних туалетних кабін КП «ЮНА»;</w:t>
      </w:r>
    </w:p>
    <w:p w:rsidR="00143BBA" w:rsidRPr="001704C2" w:rsidRDefault="00143BBA" w:rsidP="00785AD6">
      <w:pPr>
        <w:tabs>
          <w:tab w:val="left" w:pos="916"/>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lang w:val="uk-UA"/>
        </w:rPr>
      </w:pPr>
      <w:r w:rsidRPr="001704C2">
        <w:rPr>
          <w:sz w:val="28"/>
          <w:lang w:val="uk-UA"/>
        </w:rPr>
        <w:t xml:space="preserve">            - проводить роботу по ефективному використанню об'єктів комунальної власності територіальної громади м. Харкова (КП «Підземне місто»), комплексне обслуговування 65 підземних пішохідних переходів площею 57,1 тис. м</w:t>
      </w:r>
      <w:r w:rsidRPr="001704C2">
        <w:rPr>
          <w:sz w:val="28"/>
          <w:vertAlign w:val="superscript"/>
          <w:lang w:val="uk-UA"/>
        </w:rPr>
        <w:t>2</w:t>
      </w:r>
      <w:r w:rsidRPr="001704C2">
        <w:rPr>
          <w:sz w:val="28"/>
          <w:lang w:val="uk-UA"/>
        </w:rPr>
        <w:t>, розміщених на території м. Харкова, в т. ч. переходів біля станцій метрополітену, що знаходяться на балансі підприємства;</w:t>
      </w:r>
    </w:p>
    <w:p w:rsidR="00143BBA" w:rsidRDefault="00143BBA" w:rsidP="008D7D94">
      <w:pPr>
        <w:jc w:val="both"/>
        <w:rPr>
          <w:sz w:val="28"/>
          <w:lang w:val="uk-UA"/>
        </w:rPr>
      </w:pPr>
      <w:r w:rsidRPr="001704C2">
        <w:rPr>
          <w:sz w:val="28"/>
          <w:lang w:val="uk-UA"/>
        </w:rPr>
        <w:t xml:space="preserve">            - для створення єдиної ефективної міської системи щодо подання побутових послуг населенню у сфері виконання фоторобіт і виготовлення поліграфічної продукції в загальноосвітніх і дошкільних учбових закладах міста створене КП «Фото-Портал». У теперішній час проводиться робота пов'язана з підго</w:t>
      </w:r>
      <w:r>
        <w:rPr>
          <w:sz w:val="28"/>
          <w:lang w:val="uk-UA"/>
        </w:rPr>
        <w:t>товкою засновницьких документів;</w:t>
      </w:r>
    </w:p>
    <w:p w:rsidR="00143BBA" w:rsidRDefault="00143BBA" w:rsidP="008D7D94">
      <w:pPr>
        <w:tabs>
          <w:tab w:val="left" w:pos="916"/>
        </w:tabs>
        <w:ind w:firstLine="993"/>
        <w:jc w:val="both"/>
        <w:rPr>
          <w:sz w:val="28"/>
          <w:lang w:val="uk-UA"/>
        </w:rPr>
      </w:pPr>
      <w:r>
        <w:rPr>
          <w:sz w:val="28"/>
          <w:lang w:val="uk-UA"/>
        </w:rPr>
        <w:t xml:space="preserve">- з метою задоволення  потреб та реалізації інтересів територіальної громади  м. Харкова, шляхом надання послуг та створення для продавців та покупців належних умов торгівлі на спеціально відведеної для цієї мети території КП «Харків-Паливо» рішенням 29 сесії Харківської міської ради     7 скликанням від 21.08.2019 №1735/19 перейменовано на КП «Міський торговий ринок». У </w:t>
      </w:r>
      <w:r>
        <w:rPr>
          <w:sz w:val="28"/>
          <w:lang w:val="en-US"/>
        </w:rPr>
        <w:t>I</w:t>
      </w:r>
      <w:r>
        <w:rPr>
          <w:sz w:val="28"/>
          <w:lang w:val="uk-UA"/>
        </w:rPr>
        <w:t xml:space="preserve"> кв. 2020 року підприємством проводилась робота пов’язана з отриманням технічних умов для проектування багатофункціонального комплексу.</w:t>
      </w:r>
    </w:p>
    <w:p w:rsidR="00143BBA" w:rsidRPr="001704C2" w:rsidRDefault="00143BBA" w:rsidP="00280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Комунальні підприємства, функціонально підпорядковані Департаменту адміністративних послуг і споживчого ринку</w:t>
      </w:r>
      <w:r>
        <w:rPr>
          <w:sz w:val="28"/>
          <w:szCs w:val="28"/>
          <w:lang w:val="uk-UA"/>
        </w:rPr>
        <w:t>, крім КП «Міський торговий ринок»,</w:t>
      </w:r>
      <w:r w:rsidRPr="001704C2">
        <w:rPr>
          <w:sz w:val="28"/>
          <w:szCs w:val="28"/>
          <w:lang w:val="uk-UA"/>
        </w:rPr>
        <w:t xml:space="preserve"> бюджетні кошти не отримують. Фінансово-господарська діяльність підприємств здійснюється за рахунок власних обігових коштів.</w:t>
      </w:r>
    </w:p>
    <w:p w:rsidR="00143BBA" w:rsidRPr="001704C2" w:rsidRDefault="00143BBA" w:rsidP="00280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З метою поліпшення фінансово-господарської діяльності комунальних підприємств, отримання підприємствами максимального прибутку, поліпшення якості послуг, що надаються, виявлення ознак неплатоспроможності, щокварталу проводиться аналіз показників фінансово-господарської діяльності комунальних підприємств.</w:t>
      </w:r>
    </w:p>
    <w:p w:rsidR="00143BBA" w:rsidRPr="001704C2" w:rsidRDefault="00143BBA" w:rsidP="00280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Аналізується виконання фінансових планів, реалізація заходів виробничого характеру, забезпечення витрат і виконання зобов'язань, включаючи зобов'язання перед бюджетом і державними цільовими фондами.</w:t>
      </w:r>
    </w:p>
    <w:p w:rsidR="00143BBA" w:rsidRDefault="00143BBA" w:rsidP="00280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 xml:space="preserve">Виконання </w:t>
      </w:r>
      <w:r>
        <w:rPr>
          <w:sz w:val="28"/>
          <w:szCs w:val="28"/>
          <w:lang w:val="uk-UA"/>
        </w:rPr>
        <w:t xml:space="preserve">запланованих </w:t>
      </w:r>
      <w:r w:rsidRPr="001704C2">
        <w:rPr>
          <w:sz w:val="28"/>
          <w:szCs w:val="28"/>
          <w:lang w:val="uk-UA"/>
        </w:rPr>
        <w:t xml:space="preserve">заходів у фінансовому плані дає можливість поліпшити роботу комунальних підприємств. Очікується, що за підсумками роботи </w:t>
      </w:r>
      <w:r>
        <w:rPr>
          <w:sz w:val="28"/>
          <w:szCs w:val="28"/>
          <w:lang w:val="uk-UA"/>
        </w:rPr>
        <w:t xml:space="preserve">за </w:t>
      </w:r>
      <w:r>
        <w:rPr>
          <w:sz w:val="28"/>
          <w:szCs w:val="28"/>
          <w:lang w:val="en-US"/>
        </w:rPr>
        <w:t>I</w:t>
      </w:r>
      <w:r w:rsidRPr="00280FC1">
        <w:rPr>
          <w:sz w:val="28"/>
          <w:szCs w:val="28"/>
          <w:lang w:val="uk-UA"/>
        </w:rPr>
        <w:t xml:space="preserve"> </w:t>
      </w:r>
      <w:r>
        <w:rPr>
          <w:sz w:val="28"/>
          <w:szCs w:val="28"/>
          <w:lang w:val="uk-UA"/>
        </w:rPr>
        <w:t xml:space="preserve">квартал </w:t>
      </w:r>
      <w:r w:rsidRPr="001704C2">
        <w:rPr>
          <w:sz w:val="28"/>
          <w:szCs w:val="28"/>
          <w:lang w:val="uk-UA"/>
        </w:rPr>
        <w:t>20</w:t>
      </w:r>
      <w:r>
        <w:rPr>
          <w:sz w:val="28"/>
          <w:szCs w:val="28"/>
          <w:lang w:val="uk-UA"/>
        </w:rPr>
        <w:t>20</w:t>
      </w:r>
      <w:r w:rsidRPr="001704C2">
        <w:rPr>
          <w:sz w:val="28"/>
          <w:szCs w:val="28"/>
          <w:lang w:val="uk-UA"/>
        </w:rPr>
        <w:t xml:space="preserve"> року усі п</w:t>
      </w:r>
      <w:r>
        <w:rPr>
          <w:sz w:val="28"/>
          <w:szCs w:val="28"/>
          <w:lang w:val="uk-UA"/>
        </w:rPr>
        <w:t xml:space="preserve">ідприємства будуть прибутковими, крім КП «Підземне місто». </w:t>
      </w:r>
    </w:p>
    <w:p w:rsidR="00143BBA" w:rsidRDefault="00143BBA" w:rsidP="00280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lang w:val="uk-UA"/>
        </w:rPr>
        <w:t xml:space="preserve">Постановою КМУ від 11.03.2020 №211 «Про запобігання поширенню на території України гострої респіраторної хвороби  </w:t>
      </w:r>
      <w:r>
        <w:rPr>
          <w:sz w:val="28"/>
          <w:lang w:val="en-US"/>
        </w:rPr>
        <w:t>COVID</w:t>
      </w:r>
      <w:r>
        <w:rPr>
          <w:sz w:val="28"/>
          <w:lang w:val="uk-UA"/>
        </w:rPr>
        <w:t xml:space="preserve">-19, спричиненої короно вірусом </w:t>
      </w:r>
      <w:r>
        <w:rPr>
          <w:sz w:val="28"/>
          <w:lang w:val="en-US"/>
        </w:rPr>
        <w:t>SARS</w:t>
      </w:r>
      <w:r w:rsidRPr="002560F2">
        <w:rPr>
          <w:sz w:val="28"/>
          <w:lang w:val="uk-UA"/>
        </w:rPr>
        <w:t>-</w:t>
      </w:r>
      <w:r>
        <w:rPr>
          <w:sz w:val="28"/>
          <w:lang w:val="en-US"/>
        </w:rPr>
        <w:t>CoV</w:t>
      </w:r>
      <w:r w:rsidRPr="002560F2">
        <w:rPr>
          <w:sz w:val="28"/>
          <w:lang w:val="uk-UA"/>
        </w:rPr>
        <w:t>-2</w:t>
      </w:r>
      <w:r>
        <w:rPr>
          <w:sz w:val="28"/>
          <w:lang w:val="uk-UA"/>
        </w:rPr>
        <w:t>» (зі змінами та доповненнями), з 12.03.2020 на всій території України встановлено карантин.</w:t>
      </w:r>
    </w:p>
    <w:p w:rsidR="00143BBA" w:rsidRDefault="00143BBA" w:rsidP="00280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xml:space="preserve">Згідно з протоколом позачергового засідання міської комісії з питань техногенно-екологічної безпеки та надзвичайних ситуацій від 16.03.2020 на період карантину заборонено торговельну діяльність у підземних                  підвуличних пішохідних переходах біля станцій метро міста, які знаходяться в господарському віданні КП «Підземне місто».  </w:t>
      </w:r>
    </w:p>
    <w:p w:rsidR="00143BBA" w:rsidRDefault="00143BBA" w:rsidP="002E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На виконання вищевказаних рішень органів державної влади та місцевого самоврядування з 17.03.2020 р. орендарями припинено торговельну діяльність в підземних підвуличних пішохідних переходах біля станцій метро. Єдиним джерелом доходів КП «Підземне місто» є доходи від надання в оренду рухомого та нерухомого майна та розміщення реклами в підземних під вуличних пішохідних переходах.</w:t>
      </w:r>
    </w:p>
    <w:p w:rsidR="00143BBA" w:rsidRDefault="00143BBA" w:rsidP="00280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xml:space="preserve">В зв’язку з припиненням підприємницької діяльності в підземних       підвуличних пішохідних переходах, що знаходяться в господарському віданні комунального підприємства, воно може отримати збиток за </w:t>
      </w:r>
      <w:r>
        <w:rPr>
          <w:sz w:val="28"/>
          <w:szCs w:val="28"/>
          <w:lang w:val="en-US"/>
        </w:rPr>
        <w:t>I</w:t>
      </w:r>
      <w:r w:rsidRPr="006673BD">
        <w:rPr>
          <w:sz w:val="28"/>
          <w:szCs w:val="28"/>
          <w:lang w:val="uk-UA"/>
        </w:rPr>
        <w:t xml:space="preserve"> </w:t>
      </w:r>
      <w:r>
        <w:rPr>
          <w:sz w:val="28"/>
          <w:szCs w:val="28"/>
          <w:lang w:val="uk-UA"/>
        </w:rPr>
        <w:t xml:space="preserve">квартал 2020 року у сумі біля 500 тис. грн. </w:t>
      </w:r>
    </w:p>
    <w:p w:rsidR="00143BBA" w:rsidRPr="001704C2" w:rsidRDefault="00143BBA" w:rsidP="00280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Незважаючи на позитивні тенденції розвитку комунальних підприємств, функціонально підпорядкованих департаменту, вони мають ряд невирішених проблем:</w:t>
      </w:r>
    </w:p>
    <w:p w:rsidR="00143BBA" w:rsidRDefault="00143BBA" w:rsidP="008D7D94">
      <w:pPr>
        <w:tabs>
          <w:tab w:val="left" w:pos="993"/>
        </w:tabs>
        <w:ind w:firstLine="709"/>
        <w:jc w:val="both"/>
        <w:rPr>
          <w:sz w:val="28"/>
          <w:szCs w:val="28"/>
          <w:lang w:val="uk-UA"/>
        </w:rPr>
      </w:pPr>
      <w:r>
        <w:rPr>
          <w:sz w:val="28"/>
          <w:szCs w:val="28"/>
          <w:lang w:val="uk-UA"/>
        </w:rPr>
        <w:t>- недостатнє фінансування харчування в лікувальних установах (близько 5,8 грн на людину в добу), закриття відділень у лікарнях у зв’язку з введенням карантину у березні 2020 року;</w:t>
      </w:r>
    </w:p>
    <w:p w:rsidR="00143BBA" w:rsidRDefault="00143BBA" w:rsidP="008D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недостатність власних обігових коштів. КП «Сігма ХМР» КП «Баст»;</w:t>
      </w:r>
    </w:p>
    <w:p w:rsidR="00143BBA" w:rsidRDefault="00143BBA" w:rsidP="008D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КП «Баст» у 2019 році практично призупинило обробку білизни лікувально-профілактичних установ, у зв’язку з наявність застарілого обладнання, що вимагає модернізації і технологічного оснащення (знос устаткування складає до 90%);</w:t>
      </w:r>
    </w:p>
    <w:p w:rsidR="00143BBA" w:rsidRDefault="00143BBA" w:rsidP="008D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Вирішення проблем і збільшення прибутку підприємств планується досягти за рахунок заходів по підвищенню ефективності роботи:</w:t>
      </w:r>
    </w:p>
    <w:p w:rsidR="00143BBA" w:rsidRDefault="00143BBA" w:rsidP="008D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розвитку мережі громадського харчування і впровадження платного харчування в лікувальних установах, поліпшення асортименту продукції, що виготовляється, поліпшення її якості (КП «Сігма ХМР»);</w:t>
      </w:r>
    </w:p>
    <w:p w:rsidR="00143BBA" w:rsidRDefault="00143BBA" w:rsidP="008D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придбання нових мобільних туалетних кабін за рахунок власних коштів (КП «ЮНА»);</w:t>
      </w:r>
    </w:p>
    <w:p w:rsidR="00143BBA" w:rsidRDefault="00143BBA" w:rsidP="008D7D94">
      <w:pPr>
        <w:tabs>
          <w:tab w:val="left" w:pos="709"/>
          <w:tab w:val="left" w:pos="851"/>
        </w:tabs>
        <w:ind w:firstLine="709"/>
        <w:jc w:val="both"/>
        <w:rPr>
          <w:sz w:val="28"/>
          <w:szCs w:val="28"/>
          <w:lang w:val="uk-UA"/>
        </w:rPr>
      </w:pPr>
      <w:r>
        <w:rPr>
          <w:sz w:val="28"/>
          <w:szCs w:val="28"/>
          <w:lang w:val="uk-UA"/>
        </w:rPr>
        <w:t>- досягнення балансу інтересів орендодавців щодо максимізації доходів від оренди комунального майна та орендарів щодо можливості користування комунальним майном для здійснення підприємницької діяльності. Вжиття заходів по контролю за використанням площ підземних підвуличних  пішохідних переходів, забезпеченню фінансової дисципліни з боку орендарів, дотримання ними умов укладених договорів оренди комунального майна. Співробітництво з органами Національної поліції з метою усунення та запобігання фактів несанкціонованої торгівлі в підземних підвуличних пішохідних переходах (КП «Підземне місто»);</w:t>
      </w:r>
    </w:p>
    <w:p w:rsidR="00143BBA" w:rsidRDefault="00143BBA" w:rsidP="008D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збільшення кількості послуг, що надаються (КП «ЮНА»,                    КП  «Сігма ХМР», КП «Підземне місто»);</w:t>
      </w:r>
    </w:p>
    <w:p w:rsidR="00143BBA" w:rsidRDefault="00143BBA" w:rsidP="008D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xml:space="preserve">- вживання заходів щодо прискорення робіт по проектуванню будівництва торговельного комплексу (КП «Міський торговий ринок»). </w:t>
      </w:r>
    </w:p>
    <w:p w:rsidR="00143BBA" w:rsidRPr="001704C2" w:rsidRDefault="00143BBA" w:rsidP="008D7D94">
      <w:pPr>
        <w:pStyle w:val="ListParagraph"/>
        <w:ind w:left="0" w:firstLine="709"/>
        <w:jc w:val="both"/>
        <w:rPr>
          <w:sz w:val="28"/>
          <w:lang w:val="uk-UA"/>
        </w:rPr>
      </w:pPr>
      <w:r w:rsidRPr="001704C2">
        <w:rPr>
          <w:sz w:val="28"/>
          <w:lang w:val="uk-UA"/>
        </w:rPr>
        <w:t xml:space="preserve">Спеціалісти </w:t>
      </w:r>
      <w:r>
        <w:rPr>
          <w:sz w:val="28"/>
          <w:lang w:val="uk-UA"/>
        </w:rPr>
        <w:t>д</w:t>
      </w:r>
      <w:r w:rsidRPr="001704C2">
        <w:rPr>
          <w:sz w:val="28"/>
          <w:lang w:val="uk-UA"/>
        </w:rPr>
        <w:t>епартаменту, з</w:t>
      </w:r>
      <w:r w:rsidRPr="001704C2">
        <w:rPr>
          <w:sz w:val="28"/>
          <w:szCs w:val="28"/>
          <w:lang w:val="uk-UA"/>
        </w:rPr>
        <w:t xml:space="preserve"> метою попередження порушень законодавства України у сфері захисту прав споживачів, </w:t>
      </w:r>
      <w:r w:rsidRPr="001704C2">
        <w:rPr>
          <w:sz w:val="28"/>
          <w:lang w:val="uk-UA"/>
        </w:rPr>
        <w:t>здійснюють постійний контроль щодо дотримання норм та вимог чинного законодавства у сфері торгівлі та побутового обслуговування.</w:t>
      </w:r>
    </w:p>
    <w:p w:rsidR="00143BBA" w:rsidRPr="001704C2" w:rsidRDefault="00143BBA" w:rsidP="008D7D94">
      <w:pPr>
        <w:pStyle w:val="BodyTextIndent"/>
        <w:ind w:firstLine="786"/>
      </w:pPr>
      <w:r>
        <w:t xml:space="preserve">У </w:t>
      </w:r>
      <w:r>
        <w:rPr>
          <w:lang w:val="en-US"/>
        </w:rPr>
        <w:t>I</w:t>
      </w:r>
      <w:r>
        <w:t xml:space="preserve"> кв. 2020 року </w:t>
      </w:r>
      <w:r w:rsidRPr="001704C2">
        <w:rPr>
          <w:szCs w:val="28"/>
        </w:rPr>
        <w:t>бул</w:t>
      </w:r>
      <w:r>
        <w:rPr>
          <w:szCs w:val="28"/>
        </w:rPr>
        <w:t>о</w:t>
      </w:r>
      <w:r w:rsidRPr="001704C2">
        <w:rPr>
          <w:szCs w:val="28"/>
        </w:rPr>
        <w:t xml:space="preserve"> </w:t>
      </w:r>
      <w:r>
        <w:rPr>
          <w:szCs w:val="28"/>
        </w:rPr>
        <w:t>проведено</w:t>
      </w:r>
      <w:r w:rsidRPr="001704C2">
        <w:rPr>
          <w:szCs w:val="28"/>
        </w:rPr>
        <w:t xml:space="preserve"> перевірки</w:t>
      </w:r>
      <w:r w:rsidRPr="001704C2">
        <w:rPr>
          <w:b/>
          <w:szCs w:val="28"/>
        </w:rPr>
        <w:t xml:space="preserve"> </w:t>
      </w:r>
      <w:r w:rsidRPr="00D25829">
        <w:rPr>
          <w:szCs w:val="28"/>
        </w:rPr>
        <w:t>19</w:t>
      </w:r>
      <w:r w:rsidRPr="001704C2">
        <w:rPr>
          <w:b/>
          <w:szCs w:val="28"/>
        </w:rPr>
        <w:t xml:space="preserve"> </w:t>
      </w:r>
      <w:r w:rsidRPr="001704C2">
        <w:rPr>
          <w:szCs w:val="28"/>
        </w:rPr>
        <w:t xml:space="preserve">підприємств, в яких здійснювали підприємницьку діяльність </w:t>
      </w:r>
      <w:r>
        <w:rPr>
          <w:szCs w:val="28"/>
        </w:rPr>
        <w:t>176 суб’єктів</w:t>
      </w:r>
      <w:r w:rsidRPr="001704C2">
        <w:rPr>
          <w:szCs w:val="28"/>
        </w:rPr>
        <w:t xml:space="preserve"> господарювання,</w:t>
      </w:r>
      <w:r w:rsidRPr="001704C2">
        <w:t xml:space="preserve"> у</w:t>
      </w:r>
      <w:r w:rsidRPr="001704C2">
        <w:rPr>
          <w:b/>
        </w:rPr>
        <w:t xml:space="preserve"> </w:t>
      </w:r>
      <w:r w:rsidRPr="001704C2">
        <w:t xml:space="preserve"> </w:t>
      </w:r>
      <w:r>
        <w:t xml:space="preserve"> </w:t>
      </w:r>
      <w:r w:rsidRPr="001704C2">
        <w:t xml:space="preserve">   </w:t>
      </w:r>
      <w:r>
        <w:t>9</w:t>
      </w:r>
      <w:r w:rsidRPr="001704C2">
        <w:t xml:space="preserve"> </w:t>
      </w:r>
      <w:r w:rsidRPr="001704C2">
        <w:rPr>
          <w:szCs w:val="28"/>
          <w:lang w:eastAsia="en-US"/>
        </w:rPr>
        <w:t xml:space="preserve">суб’єктів господарювання </w:t>
      </w:r>
      <w:r w:rsidRPr="001704C2">
        <w:t>(</w:t>
      </w:r>
      <w:r>
        <w:t>5,1</w:t>
      </w:r>
      <w:r w:rsidRPr="001704C2">
        <w:t>% від загальної кількості перевірених) встановлено</w:t>
      </w:r>
      <w:r w:rsidRPr="00D15649">
        <w:t xml:space="preserve"> </w:t>
      </w:r>
      <w:r>
        <w:t>27</w:t>
      </w:r>
      <w:r w:rsidRPr="0083598A">
        <w:t xml:space="preserve"> </w:t>
      </w:r>
      <w:r w:rsidRPr="001704C2">
        <w:t>порушень. Найчастіше на підприємствах були зафіксовані порушення санітарного режиму, відсутність правоустановчих документів та документів, які підтверджують якість та безпеку продовольчих товарів та інше.</w:t>
      </w:r>
    </w:p>
    <w:p w:rsidR="00143BBA" w:rsidRPr="001704C2" w:rsidRDefault="00143BBA" w:rsidP="008D7D94">
      <w:pPr>
        <w:pStyle w:val="BodyTextIndent"/>
        <w:ind w:firstLine="786"/>
      </w:pPr>
      <w:r w:rsidRPr="001704C2">
        <w:t xml:space="preserve">Відповідно до повноважень органів місцевого самоврядування визначених </w:t>
      </w:r>
      <w:r>
        <w:t>у</w:t>
      </w:r>
      <w:r w:rsidRPr="001704C2">
        <w:t xml:space="preserve"> Кодексі України про адміністративні правопорушення, за встановлені правопорушення було складено </w:t>
      </w:r>
      <w:r>
        <w:t>9</w:t>
      </w:r>
      <w:r w:rsidRPr="001704C2">
        <w:t xml:space="preserve"> протокол</w:t>
      </w:r>
      <w:r>
        <w:t>ів</w:t>
      </w:r>
      <w:r w:rsidRPr="001704C2">
        <w:t xml:space="preserve"> відносно господарюючих суб’єктів за ст.155, ст.159 КУпАП. </w:t>
      </w:r>
    </w:p>
    <w:p w:rsidR="00143BBA" w:rsidRPr="001704C2" w:rsidRDefault="00143BBA" w:rsidP="008D7D94">
      <w:pPr>
        <w:pStyle w:val="BodyTextIndent"/>
        <w:ind w:firstLine="709"/>
      </w:pPr>
      <w:r>
        <w:t xml:space="preserve"> </w:t>
      </w:r>
      <w:r w:rsidRPr="001704C2">
        <w:t>Незважаючи на позитивні тенденції розвитку споживчого ринку міста, ряд проблемних питань залишаються невирішеними:</w:t>
      </w:r>
    </w:p>
    <w:p w:rsidR="00143BBA" w:rsidRPr="001704C2" w:rsidRDefault="00143BBA" w:rsidP="008D7D94">
      <w:pPr>
        <w:pStyle w:val="Heading1"/>
        <w:ind w:left="1134" w:hanging="708"/>
        <w:jc w:val="both"/>
        <w:rPr>
          <w:sz w:val="28"/>
          <w:lang w:val="uk-UA"/>
        </w:rPr>
      </w:pPr>
      <w:r w:rsidRPr="001704C2">
        <w:rPr>
          <w:b/>
          <w:sz w:val="28"/>
          <w:lang w:val="uk-UA"/>
        </w:rPr>
        <w:t xml:space="preserve">–      </w:t>
      </w:r>
      <w:r w:rsidRPr="00407BBA">
        <w:rPr>
          <w:sz w:val="28"/>
          <w:u w:val="single"/>
          <w:lang w:val="uk-UA"/>
        </w:rPr>
        <w:t>на території міста продовжує існувати торгівля у невстановлених місцях.</w:t>
      </w:r>
      <w:r w:rsidRPr="001704C2">
        <w:rPr>
          <w:sz w:val="28"/>
          <w:lang w:val="uk-UA"/>
        </w:rPr>
        <w:t xml:space="preserve"> </w:t>
      </w:r>
    </w:p>
    <w:p w:rsidR="00143BBA" w:rsidRPr="001704C2" w:rsidRDefault="00143BBA" w:rsidP="008D7D94">
      <w:pPr>
        <w:ind w:left="1134"/>
        <w:jc w:val="both"/>
        <w:rPr>
          <w:sz w:val="28"/>
          <w:szCs w:val="28"/>
          <w:lang w:val="uk-UA"/>
        </w:rPr>
      </w:pPr>
      <w:r w:rsidRPr="001704C2">
        <w:rPr>
          <w:sz w:val="28"/>
          <w:lang w:val="uk-UA"/>
        </w:rPr>
        <w:t>З метою недопущення несанкціонованої торгівлі, на території ринків та торговельних майданчиків організовані торговельні об’єкти для соціально-незахищених громадян, які можуть здійснювати торгівлю на пільгових умовах. Кількість таких об’єктів складає – 1149 од.;</w:t>
      </w:r>
    </w:p>
    <w:p w:rsidR="00143BBA" w:rsidRPr="001704C2" w:rsidRDefault="00143BBA" w:rsidP="008D7D94">
      <w:pPr>
        <w:numPr>
          <w:ilvl w:val="0"/>
          <w:numId w:val="1"/>
        </w:numPr>
        <w:jc w:val="both"/>
        <w:rPr>
          <w:sz w:val="28"/>
          <w:szCs w:val="28"/>
          <w:lang w:val="uk-UA"/>
        </w:rPr>
      </w:pPr>
      <w:r w:rsidRPr="00407BBA">
        <w:rPr>
          <w:sz w:val="28"/>
          <w:u w:val="single"/>
          <w:lang w:val="uk-UA"/>
        </w:rPr>
        <w:t>відсутність Закону «Про внутрішню торгівлю».</w:t>
      </w:r>
      <w:r w:rsidRPr="001704C2">
        <w:rPr>
          <w:b/>
          <w:sz w:val="28"/>
          <w:lang w:val="uk-UA"/>
        </w:rPr>
        <w:t xml:space="preserve"> </w:t>
      </w:r>
      <w:r w:rsidRPr="001704C2">
        <w:rPr>
          <w:sz w:val="28"/>
          <w:lang w:val="uk-UA"/>
        </w:rPr>
        <w:t xml:space="preserve">Одним із чинників, який стримує розвиток оптової, роздрібної торгівлі, ресторанного господарства, що складають основу внутрішньої торгівлі, є відсутність комплексного нормативного регулювання відносин у сфері внутрішньої торгівлі, основу яких би складав відповідний закон. Цей закон повинен містити засади регулювання таких відносин, які виходитимуть з принципів вільної конкуренції, рівності фізичних і юридичних осіб перед законом. Департамент неодноразово виходив з пропозиціями до Міністерства економічного розвитку і торгівлі України про внесення змін та доповнень до проектів законів «Про внутрішню торгівлю». </w:t>
      </w:r>
    </w:p>
    <w:p w:rsidR="00143BBA" w:rsidRPr="001704C2" w:rsidRDefault="00143BBA" w:rsidP="008D7D94">
      <w:pPr>
        <w:pStyle w:val="BodyTextIndent"/>
      </w:pPr>
      <w:r w:rsidRPr="001704C2">
        <w:t xml:space="preserve"> У продовж </w:t>
      </w:r>
      <w:r>
        <w:rPr>
          <w:lang w:val="en-US"/>
        </w:rPr>
        <w:t>I</w:t>
      </w:r>
      <w:r w:rsidRPr="00974B27">
        <w:rPr>
          <w:lang w:val="ru-RU"/>
        </w:rPr>
        <w:t xml:space="preserve"> </w:t>
      </w:r>
      <w:r>
        <w:t xml:space="preserve">кварталу </w:t>
      </w:r>
      <w:r w:rsidRPr="001704C2">
        <w:rPr>
          <w:szCs w:val="28"/>
        </w:rPr>
        <w:t>20</w:t>
      </w:r>
      <w:r>
        <w:rPr>
          <w:szCs w:val="28"/>
        </w:rPr>
        <w:t>20</w:t>
      </w:r>
      <w:r w:rsidRPr="001704C2">
        <w:rPr>
          <w:szCs w:val="28"/>
        </w:rPr>
        <w:t xml:space="preserve"> року</w:t>
      </w:r>
      <w:r w:rsidRPr="001704C2">
        <w:t xml:space="preserve">, </w:t>
      </w:r>
      <w:r>
        <w:t>д</w:t>
      </w:r>
      <w:r w:rsidRPr="001704C2">
        <w:t>епартамент працював над виконанням задач, які включені до „Програми соціального і економічного розвитку м. Харкова на 20</w:t>
      </w:r>
      <w:r>
        <w:t>20</w:t>
      </w:r>
      <w:r w:rsidRPr="001704C2">
        <w:t xml:space="preserve"> рік”, спрямованих на:</w:t>
      </w:r>
    </w:p>
    <w:p w:rsidR="00143BBA" w:rsidRPr="001704C2" w:rsidRDefault="00143BBA" w:rsidP="008D7D94">
      <w:pPr>
        <w:numPr>
          <w:ilvl w:val="0"/>
          <w:numId w:val="3"/>
        </w:numPr>
        <w:jc w:val="both"/>
        <w:rPr>
          <w:sz w:val="28"/>
          <w:lang w:val="uk-UA"/>
        </w:rPr>
      </w:pPr>
      <w:r w:rsidRPr="001704C2">
        <w:rPr>
          <w:sz w:val="28"/>
          <w:lang w:val="uk-UA"/>
        </w:rPr>
        <w:t>формування механізмів та розробку заходів, направлених на максимально повне задоволення попиту населення в послугах продовольчої та непродовольчої торгівлі, ресторанного господарства, побутового обслуговування населення, в послугах ринків;</w:t>
      </w:r>
    </w:p>
    <w:p w:rsidR="00143BBA" w:rsidRPr="001704C2" w:rsidRDefault="00143BBA" w:rsidP="008D7D94">
      <w:pPr>
        <w:numPr>
          <w:ilvl w:val="0"/>
          <w:numId w:val="3"/>
        </w:numPr>
        <w:jc w:val="both"/>
        <w:rPr>
          <w:sz w:val="28"/>
          <w:lang w:val="uk-UA"/>
        </w:rPr>
      </w:pPr>
      <w:r w:rsidRPr="001704C2">
        <w:rPr>
          <w:sz w:val="28"/>
          <w:lang w:val="uk-UA"/>
        </w:rPr>
        <w:t>підвищення якості послуг та культури обслуговування;</w:t>
      </w:r>
    </w:p>
    <w:p w:rsidR="00143BBA" w:rsidRPr="001704C2" w:rsidRDefault="00143BBA" w:rsidP="008D7D94">
      <w:pPr>
        <w:numPr>
          <w:ilvl w:val="0"/>
          <w:numId w:val="3"/>
        </w:numPr>
        <w:jc w:val="both"/>
        <w:rPr>
          <w:sz w:val="28"/>
          <w:lang w:val="uk-UA"/>
        </w:rPr>
      </w:pPr>
      <w:r w:rsidRPr="001704C2">
        <w:rPr>
          <w:sz w:val="28"/>
          <w:lang w:val="uk-UA"/>
        </w:rPr>
        <w:t>реалізацію комплексних заходів щодо забезпечення пріоритетного просування на споживчий ринок міста товарів місцевого виробника шляхом проведення виставок, ярмарок та ін.;</w:t>
      </w:r>
    </w:p>
    <w:p w:rsidR="00143BBA" w:rsidRPr="001704C2" w:rsidRDefault="00143BBA" w:rsidP="008D7D94">
      <w:pPr>
        <w:numPr>
          <w:ilvl w:val="0"/>
          <w:numId w:val="3"/>
        </w:numPr>
        <w:jc w:val="both"/>
        <w:rPr>
          <w:sz w:val="28"/>
          <w:lang w:val="uk-UA"/>
        </w:rPr>
      </w:pPr>
      <w:r w:rsidRPr="001704C2">
        <w:rPr>
          <w:sz w:val="28"/>
          <w:lang w:val="uk-UA"/>
        </w:rPr>
        <w:t>формування соціально-орієнтованої системи торгового та побутового обслуговування населення;</w:t>
      </w:r>
    </w:p>
    <w:p w:rsidR="00143BBA" w:rsidRPr="001704C2" w:rsidRDefault="00143BBA" w:rsidP="008D7D94">
      <w:pPr>
        <w:numPr>
          <w:ilvl w:val="0"/>
          <w:numId w:val="3"/>
        </w:numPr>
        <w:jc w:val="both"/>
        <w:rPr>
          <w:sz w:val="28"/>
          <w:lang w:val="uk-UA"/>
        </w:rPr>
      </w:pPr>
      <w:r w:rsidRPr="001704C2">
        <w:rPr>
          <w:sz w:val="28"/>
          <w:lang w:val="uk-UA"/>
        </w:rPr>
        <w:t>забезпечення у сфері споживчого ринку та послуг балансу інтересів і захисту прав споживачів, підприємців та держави на основі удосконалення форм, методів і організації правового регулювання і контролю;</w:t>
      </w:r>
    </w:p>
    <w:p w:rsidR="00143BBA" w:rsidRPr="001704C2" w:rsidRDefault="00143BBA" w:rsidP="008D7D94">
      <w:pPr>
        <w:numPr>
          <w:ilvl w:val="0"/>
          <w:numId w:val="3"/>
        </w:numPr>
        <w:jc w:val="both"/>
        <w:rPr>
          <w:lang w:val="uk-UA"/>
        </w:rPr>
      </w:pPr>
      <w:r w:rsidRPr="001704C2">
        <w:rPr>
          <w:sz w:val="28"/>
          <w:lang w:val="uk-UA"/>
        </w:rPr>
        <w:t xml:space="preserve">ліквідацію необґрунтованих адміністративних бар’єрів для підприємців. </w:t>
      </w:r>
    </w:p>
    <w:p w:rsidR="00143BBA" w:rsidRDefault="00143BBA" w:rsidP="00562A2B">
      <w:pPr>
        <w:rPr>
          <w:b/>
          <w:sz w:val="28"/>
          <w:szCs w:val="28"/>
          <w:lang w:val="uk-UA"/>
        </w:rPr>
      </w:pPr>
    </w:p>
    <w:p w:rsidR="00143BBA" w:rsidRDefault="00143BBA" w:rsidP="00562A2B">
      <w:pPr>
        <w:rPr>
          <w:b/>
          <w:sz w:val="28"/>
          <w:szCs w:val="28"/>
          <w:lang w:val="uk-UA"/>
        </w:rPr>
      </w:pPr>
      <w:r w:rsidRPr="001704C2">
        <w:rPr>
          <w:b/>
          <w:sz w:val="28"/>
          <w:szCs w:val="28"/>
          <w:lang w:val="uk-UA"/>
        </w:rPr>
        <w:t>Розділ</w:t>
      </w:r>
      <w:r w:rsidRPr="00641877">
        <w:rPr>
          <w:b/>
          <w:sz w:val="28"/>
          <w:szCs w:val="28"/>
          <w:lang w:val="uk-UA"/>
        </w:rPr>
        <w:t xml:space="preserve"> </w:t>
      </w:r>
      <w:r w:rsidRPr="001704C2">
        <w:rPr>
          <w:b/>
          <w:sz w:val="28"/>
          <w:szCs w:val="28"/>
          <w:lang w:val="uk-UA"/>
        </w:rPr>
        <w:t>V «Регуляторна політика»</w:t>
      </w:r>
    </w:p>
    <w:p w:rsidR="00143BBA" w:rsidRDefault="00143BBA" w:rsidP="001466E3">
      <w:pPr>
        <w:ind w:firstLine="709"/>
        <w:jc w:val="both"/>
        <w:rPr>
          <w:sz w:val="28"/>
          <w:szCs w:val="28"/>
          <w:lang w:val="uk-UA"/>
        </w:rPr>
      </w:pPr>
      <w:r w:rsidRPr="0073565F">
        <w:rPr>
          <w:sz w:val="28"/>
          <w:szCs w:val="28"/>
          <w:lang w:val="uk-UA"/>
        </w:rPr>
        <w:t>Реалізація державної регуляторної політики Харківсько</w:t>
      </w:r>
      <w:r>
        <w:rPr>
          <w:sz w:val="28"/>
          <w:szCs w:val="28"/>
          <w:lang w:val="uk-UA"/>
        </w:rPr>
        <w:t>ю</w:t>
      </w:r>
      <w:r w:rsidRPr="0073565F">
        <w:rPr>
          <w:sz w:val="28"/>
          <w:szCs w:val="28"/>
          <w:lang w:val="uk-UA"/>
        </w:rPr>
        <w:t xml:space="preserve"> місько</w:t>
      </w:r>
      <w:r>
        <w:rPr>
          <w:sz w:val="28"/>
          <w:szCs w:val="28"/>
          <w:lang w:val="uk-UA"/>
        </w:rPr>
        <w:t>ю</w:t>
      </w:r>
      <w:r w:rsidRPr="0073565F">
        <w:rPr>
          <w:sz w:val="28"/>
          <w:szCs w:val="28"/>
          <w:lang w:val="uk-UA"/>
        </w:rPr>
        <w:t xml:space="preserve"> рад</w:t>
      </w:r>
      <w:r>
        <w:rPr>
          <w:sz w:val="28"/>
          <w:szCs w:val="28"/>
          <w:lang w:val="uk-UA"/>
        </w:rPr>
        <w:t>ою</w:t>
      </w:r>
      <w:r w:rsidRPr="0073565F">
        <w:rPr>
          <w:sz w:val="28"/>
          <w:szCs w:val="28"/>
          <w:lang w:val="uk-UA"/>
        </w:rPr>
        <w:t xml:space="preserve"> та </w:t>
      </w:r>
      <w:r>
        <w:rPr>
          <w:sz w:val="28"/>
          <w:szCs w:val="28"/>
          <w:lang w:val="uk-UA"/>
        </w:rPr>
        <w:t>її</w:t>
      </w:r>
      <w:r w:rsidRPr="0073565F">
        <w:rPr>
          <w:sz w:val="28"/>
          <w:szCs w:val="28"/>
          <w:lang w:val="uk-UA"/>
        </w:rPr>
        <w:t xml:space="preserve"> виконавчим комітетом здійснюється відповідно до вимог законодавства України, що регулює відносини у сфері господарської діяльності, сфері правового регулювання господарських і адміністративних відносин між регуляторними органами та суб’єктами господарювання, і включає в себе:</w:t>
      </w:r>
    </w:p>
    <w:p w:rsidR="00143BBA" w:rsidRPr="001466E3" w:rsidRDefault="00143BBA" w:rsidP="001466E3">
      <w:pPr>
        <w:numPr>
          <w:ilvl w:val="0"/>
          <w:numId w:val="3"/>
        </w:numPr>
        <w:jc w:val="both"/>
        <w:rPr>
          <w:sz w:val="28"/>
          <w:lang w:val="uk-UA"/>
        </w:rPr>
      </w:pPr>
      <w:r w:rsidRPr="001466E3">
        <w:rPr>
          <w:sz w:val="28"/>
          <w:lang w:val="uk-UA"/>
        </w:rPr>
        <w:t>планування діяльності з підготовки проектів регуляторних актів;</w:t>
      </w:r>
    </w:p>
    <w:p w:rsidR="00143BBA" w:rsidRPr="001466E3" w:rsidRDefault="00143BBA" w:rsidP="001466E3">
      <w:pPr>
        <w:numPr>
          <w:ilvl w:val="0"/>
          <w:numId w:val="3"/>
        </w:numPr>
        <w:jc w:val="both"/>
        <w:rPr>
          <w:sz w:val="28"/>
          <w:lang w:val="uk-UA"/>
        </w:rPr>
      </w:pPr>
      <w:r w:rsidRPr="001466E3">
        <w:rPr>
          <w:sz w:val="28"/>
          <w:lang w:val="uk-UA"/>
        </w:rPr>
        <w:t>встановлення єдиного підходу до підготовки аналізу регуляторного впливу проектів нормативно-правових актів, які мають регуляторний характер;</w:t>
      </w:r>
    </w:p>
    <w:p w:rsidR="00143BBA" w:rsidRPr="001466E3" w:rsidRDefault="00143BBA" w:rsidP="001466E3">
      <w:pPr>
        <w:numPr>
          <w:ilvl w:val="0"/>
          <w:numId w:val="3"/>
        </w:numPr>
        <w:jc w:val="both"/>
        <w:rPr>
          <w:sz w:val="28"/>
          <w:lang w:val="uk-UA"/>
        </w:rPr>
      </w:pPr>
      <w:r w:rsidRPr="001466E3">
        <w:rPr>
          <w:sz w:val="28"/>
          <w:lang w:val="uk-UA"/>
        </w:rPr>
        <w:t>опублікування проектів регуляторних актів у ЗМІ з метою одержання зауважень та пропозицій від фізичних та юридичних осіб, їх об’єднань;</w:t>
      </w:r>
    </w:p>
    <w:p w:rsidR="00143BBA" w:rsidRPr="001466E3" w:rsidRDefault="00143BBA" w:rsidP="001466E3">
      <w:pPr>
        <w:numPr>
          <w:ilvl w:val="0"/>
          <w:numId w:val="3"/>
        </w:numPr>
        <w:jc w:val="both"/>
        <w:rPr>
          <w:sz w:val="28"/>
          <w:lang w:val="uk-UA"/>
        </w:rPr>
      </w:pPr>
      <w:r w:rsidRPr="001466E3">
        <w:rPr>
          <w:sz w:val="28"/>
          <w:lang w:val="uk-UA"/>
        </w:rPr>
        <w:t>здійснення контролю за дотриманням вимог Закону України «Про засади державної регуляторної політики у сфері господарської діяльності», відносно проходження проектами регуляторних актів встановленої процедури;</w:t>
      </w:r>
    </w:p>
    <w:p w:rsidR="00143BBA" w:rsidRPr="001466E3" w:rsidRDefault="00143BBA" w:rsidP="001466E3">
      <w:pPr>
        <w:numPr>
          <w:ilvl w:val="0"/>
          <w:numId w:val="3"/>
        </w:numPr>
        <w:jc w:val="both"/>
        <w:rPr>
          <w:sz w:val="28"/>
          <w:lang w:val="uk-UA"/>
        </w:rPr>
      </w:pPr>
      <w:r w:rsidRPr="001466E3">
        <w:rPr>
          <w:sz w:val="28"/>
          <w:lang w:val="uk-UA"/>
        </w:rPr>
        <w:t>здійснення заходів з відстеження результативності регуляторних актів, аналіз звітів, стосовно відстеження їх результативності;</w:t>
      </w:r>
    </w:p>
    <w:p w:rsidR="00143BBA" w:rsidRPr="001466E3" w:rsidRDefault="00143BBA" w:rsidP="001466E3">
      <w:pPr>
        <w:numPr>
          <w:ilvl w:val="0"/>
          <w:numId w:val="3"/>
        </w:numPr>
        <w:jc w:val="both"/>
        <w:rPr>
          <w:sz w:val="28"/>
          <w:lang w:val="uk-UA"/>
        </w:rPr>
      </w:pPr>
      <w:r w:rsidRPr="001466E3">
        <w:rPr>
          <w:sz w:val="28"/>
          <w:lang w:val="uk-UA"/>
        </w:rPr>
        <w:t>опублікування в ЗМІ інформації щодо здійснення регуляторної діяльності;</w:t>
      </w:r>
    </w:p>
    <w:p w:rsidR="00143BBA" w:rsidRPr="001466E3" w:rsidRDefault="00143BBA" w:rsidP="001466E3">
      <w:pPr>
        <w:numPr>
          <w:ilvl w:val="0"/>
          <w:numId w:val="3"/>
        </w:numPr>
        <w:jc w:val="both"/>
        <w:rPr>
          <w:sz w:val="28"/>
          <w:lang w:val="uk-UA"/>
        </w:rPr>
      </w:pPr>
      <w:r w:rsidRPr="001466E3">
        <w:rPr>
          <w:sz w:val="28"/>
          <w:lang w:val="uk-UA"/>
        </w:rPr>
        <w:t>перегляд регуляторних актів;</w:t>
      </w:r>
    </w:p>
    <w:p w:rsidR="00143BBA" w:rsidRPr="001466E3" w:rsidRDefault="00143BBA" w:rsidP="001466E3">
      <w:pPr>
        <w:numPr>
          <w:ilvl w:val="0"/>
          <w:numId w:val="3"/>
        </w:numPr>
        <w:jc w:val="both"/>
        <w:rPr>
          <w:sz w:val="28"/>
          <w:lang w:val="uk-UA"/>
        </w:rPr>
      </w:pPr>
      <w:r w:rsidRPr="001466E3">
        <w:rPr>
          <w:sz w:val="28"/>
          <w:lang w:val="uk-UA"/>
        </w:rPr>
        <w:t>збір інформації щодо підготовки, прийняття, здійснення відстеження регуляторних актів;</w:t>
      </w:r>
    </w:p>
    <w:p w:rsidR="00143BBA" w:rsidRPr="001466E3" w:rsidRDefault="00143BBA" w:rsidP="001466E3">
      <w:pPr>
        <w:numPr>
          <w:ilvl w:val="0"/>
          <w:numId w:val="3"/>
        </w:numPr>
        <w:jc w:val="both"/>
        <w:rPr>
          <w:sz w:val="28"/>
          <w:lang w:val="uk-UA"/>
        </w:rPr>
      </w:pPr>
      <w:r w:rsidRPr="001466E3">
        <w:rPr>
          <w:sz w:val="28"/>
          <w:lang w:val="uk-UA"/>
        </w:rPr>
        <w:t>аналіз та моніторинг законодавства для здійснення регуляторної діяльності.</w:t>
      </w:r>
    </w:p>
    <w:p w:rsidR="00143BBA" w:rsidRDefault="00143BBA" w:rsidP="008D7D94">
      <w:pPr>
        <w:pStyle w:val="rvps2"/>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sz w:val="28"/>
          <w:szCs w:val="28"/>
          <w:shd w:val="clear" w:color="auto" w:fill="FFFFFF"/>
          <w:lang w:val="uk-UA"/>
        </w:rPr>
      </w:pPr>
      <w:r>
        <w:rPr>
          <w:color w:val="212121"/>
          <w:sz w:val="28"/>
          <w:szCs w:val="28"/>
          <w:shd w:val="clear" w:color="auto" w:fill="FFFFFF"/>
          <w:lang w:val="uk-UA"/>
        </w:rPr>
        <w:t xml:space="preserve">Рішенням Харківської міської ради від </w:t>
      </w:r>
      <w:r>
        <w:rPr>
          <w:color w:val="000000"/>
          <w:sz w:val="28"/>
          <w:szCs w:val="28"/>
          <w:shd w:val="clear" w:color="auto" w:fill="FFFFFF"/>
          <w:lang w:val="uk-UA"/>
        </w:rPr>
        <w:t xml:space="preserve">27.11.2019 № 1865/19 </w:t>
      </w:r>
      <w:r>
        <w:rPr>
          <w:color w:val="212121"/>
          <w:sz w:val="28"/>
          <w:szCs w:val="28"/>
          <w:shd w:val="clear" w:color="auto" w:fill="FFFFFF"/>
          <w:lang w:val="uk-UA"/>
        </w:rPr>
        <w:t xml:space="preserve">затверджений План діяльності з підготовки проектів регуляторних актів Харківської міської ради на 2020 рік, в якому, після внесення змін заплановано розробити 13 регуляторних актів. </w:t>
      </w:r>
    </w:p>
    <w:p w:rsidR="00143BBA" w:rsidRDefault="00143BBA" w:rsidP="008D7D94">
      <w:pPr>
        <w:pStyle w:val="rvps2"/>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sz w:val="28"/>
          <w:szCs w:val="28"/>
          <w:shd w:val="clear" w:color="auto" w:fill="FFFFFF"/>
          <w:lang w:val="uk-UA"/>
        </w:rPr>
      </w:pPr>
      <w:r>
        <w:rPr>
          <w:color w:val="212121"/>
          <w:sz w:val="28"/>
          <w:szCs w:val="28"/>
          <w:shd w:val="clear" w:color="auto" w:fill="FFFFFF"/>
          <w:lang w:val="uk-UA"/>
        </w:rPr>
        <w:t xml:space="preserve">Рішенням виконавчого комітету Харківської міської ради від </w:t>
      </w:r>
      <w:r>
        <w:rPr>
          <w:sz w:val="28"/>
          <w:szCs w:val="28"/>
          <w:lang w:val="uk-UA"/>
        </w:rPr>
        <w:t>26.11.2020 № 903</w:t>
      </w:r>
      <w:r>
        <w:rPr>
          <w:color w:val="212121"/>
          <w:sz w:val="28"/>
          <w:szCs w:val="28"/>
          <w:shd w:val="clear" w:color="auto" w:fill="FFFFFF"/>
          <w:lang w:val="uk-UA"/>
        </w:rPr>
        <w:t xml:space="preserve"> затверджений План діяльності з підготовки проектів регуляторних актів виконавчого комітету Харківської міської ради на        2020 рік, в якому, після внесення змін, заплановано розробити                 2 регуляторних акти.</w:t>
      </w:r>
    </w:p>
    <w:p w:rsidR="00143BBA" w:rsidRPr="00BD111A" w:rsidRDefault="00143BBA" w:rsidP="008D7D94">
      <w:pPr>
        <w:pStyle w:val="HTMLPreformatted"/>
        <w:shd w:val="clear" w:color="auto" w:fill="FFFFFF"/>
        <w:ind w:firstLine="709"/>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Дані щодо розробки та прийняття відповідними підрозділами міської ради нормативних актів, які мають регуляторних характер, за </w:t>
      </w:r>
      <w:r>
        <w:rPr>
          <w:rFonts w:ascii="Times New Roman" w:hAnsi="Times New Roman" w:cs="Times New Roman"/>
          <w:color w:val="212121"/>
          <w:sz w:val="28"/>
          <w:szCs w:val="28"/>
          <w:shd w:val="clear" w:color="auto" w:fill="FFFFFF"/>
          <w:lang w:val="en-US"/>
        </w:rPr>
        <w:t>I</w:t>
      </w:r>
      <w:r w:rsidRPr="00390A93">
        <w:rPr>
          <w:rFonts w:ascii="Times New Roman" w:hAnsi="Times New Roman" w:cs="Times New Roman"/>
          <w:color w:val="212121"/>
          <w:sz w:val="28"/>
          <w:szCs w:val="28"/>
          <w:shd w:val="clear" w:color="auto" w:fill="FFFFFF"/>
        </w:rPr>
        <w:t xml:space="preserve"> </w:t>
      </w:r>
      <w:r>
        <w:rPr>
          <w:rFonts w:ascii="Times New Roman" w:hAnsi="Times New Roman" w:cs="Times New Roman"/>
          <w:color w:val="212121"/>
          <w:sz w:val="28"/>
          <w:szCs w:val="28"/>
          <w:shd w:val="clear" w:color="auto" w:fill="FFFFFF"/>
        </w:rPr>
        <w:t xml:space="preserve">квартал    2020 року: </w:t>
      </w:r>
    </w:p>
    <w:tbl>
      <w:tblPr>
        <w:tblpPr w:leftFromText="180" w:rightFromText="180" w:vertAnchor="text" w:horzAnchor="margin" w:tblpY="144"/>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09"/>
        <w:gridCol w:w="1619"/>
      </w:tblGrid>
      <w:tr w:rsidR="00143BBA" w:rsidTr="00280FC1">
        <w:tc>
          <w:tcPr>
            <w:tcW w:w="4132" w:type="pct"/>
          </w:tcPr>
          <w:p w:rsidR="00143BBA" w:rsidRDefault="00143BBA" w:rsidP="00280FC1">
            <w:pPr>
              <w:pStyle w:val="HTMLPreformatted"/>
              <w:jc w:val="both"/>
              <w:rPr>
                <w:rFonts w:ascii="Times New Roman" w:hAnsi="Times New Roman" w:cs="Times New Roman"/>
                <w:color w:val="212121"/>
                <w:sz w:val="28"/>
                <w:szCs w:val="28"/>
              </w:rPr>
            </w:pPr>
            <w:r>
              <w:rPr>
                <w:rFonts w:ascii="Times New Roman" w:hAnsi="Times New Roman" w:cs="Times New Roman"/>
                <w:color w:val="212121"/>
                <w:sz w:val="28"/>
                <w:szCs w:val="28"/>
              </w:rPr>
              <w:t>Розглянуто проектів регуляторних актів</w:t>
            </w:r>
          </w:p>
        </w:tc>
        <w:tc>
          <w:tcPr>
            <w:tcW w:w="868" w:type="pct"/>
          </w:tcPr>
          <w:p w:rsidR="00143BBA" w:rsidRPr="00F27ED8" w:rsidRDefault="00143BBA" w:rsidP="00390A93">
            <w:pPr>
              <w:pStyle w:val="HTMLPreformatted"/>
              <w:jc w:val="both"/>
              <w:rPr>
                <w:rFonts w:ascii="Times New Roman" w:hAnsi="Times New Roman" w:cs="Times New Roman"/>
                <w:color w:val="212121"/>
                <w:sz w:val="28"/>
                <w:szCs w:val="28"/>
                <w:lang w:val="ru-RU"/>
              </w:rPr>
            </w:pPr>
            <w:r>
              <w:rPr>
                <w:rFonts w:ascii="Times New Roman" w:hAnsi="Times New Roman" w:cs="Times New Roman"/>
                <w:color w:val="212121"/>
                <w:sz w:val="28"/>
                <w:szCs w:val="28"/>
              </w:rPr>
              <w:t xml:space="preserve">         6</w:t>
            </w:r>
          </w:p>
        </w:tc>
      </w:tr>
      <w:tr w:rsidR="00143BBA" w:rsidTr="00280FC1">
        <w:trPr>
          <w:trHeight w:val="709"/>
        </w:trPr>
        <w:tc>
          <w:tcPr>
            <w:tcW w:w="4132" w:type="pct"/>
          </w:tcPr>
          <w:p w:rsidR="00143BBA" w:rsidRDefault="00143BBA" w:rsidP="00280FC1">
            <w:pPr>
              <w:pStyle w:val="HTMLPreformatted"/>
              <w:jc w:val="both"/>
              <w:rPr>
                <w:rFonts w:ascii="Times New Roman" w:hAnsi="Times New Roman" w:cs="Times New Roman"/>
                <w:color w:val="212121"/>
                <w:sz w:val="28"/>
                <w:szCs w:val="28"/>
              </w:rPr>
            </w:pPr>
            <w:r>
              <w:rPr>
                <w:rFonts w:ascii="Times New Roman" w:hAnsi="Times New Roman" w:cs="Times New Roman"/>
                <w:color w:val="212121"/>
                <w:sz w:val="28"/>
                <w:szCs w:val="28"/>
              </w:rPr>
              <w:t>Опубліковано в офіційних засобах масової інформації проектів регуляторних актів та аналізів регуляторного впливу до них</w:t>
            </w:r>
          </w:p>
        </w:tc>
        <w:tc>
          <w:tcPr>
            <w:tcW w:w="868" w:type="pct"/>
          </w:tcPr>
          <w:p w:rsidR="00143BBA" w:rsidRPr="00F27ED8" w:rsidRDefault="00143BBA" w:rsidP="00390A93">
            <w:pPr>
              <w:pStyle w:val="HTMLPreformatted"/>
              <w:jc w:val="both"/>
              <w:rPr>
                <w:rFonts w:ascii="Times New Roman" w:hAnsi="Times New Roman" w:cs="Times New Roman"/>
                <w:color w:val="212121"/>
                <w:sz w:val="28"/>
                <w:szCs w:val="28"/>
                <w:lang w:val="ru-RU"/>
              </w:rPr>
            </w:pPr>
            <w:r>
              <w:rPr>
                <w:rFonts w:ascii="Times New Roman" w:hAnsi="Times New Roman" w:cs="Times New Roman"/>
                <w:color w:val="212121"/>
                <w:sz w:val="28"/>
                <w:szCs w:val="28"/>
              </w:rPr>
              <w:t xml:space="preserve">         6</w:t>
            </w:r>
          </w:p>
        </w:tc>
      </w:tr>
      <w:tr w:rsidR="00143BBA" w:rsidTr="00280FC1">
        <w:tc>
          <w:tcPr>
            <w:tcW w:w="4132" w:type="pct"/>
          </w:tcPr>
          <w:p w:rsidR="00143BBA" w:rsidRDefault="00143BBA" w:rsidP="00280FC1">
            <w:pPr>
              <w:pStyle w:val="HTMLPreformatted"/>
              <w:jc w:val="both"/>
              <w:rPr>
                <w:rFonts w:ascii="Times New Roman" w:hAnsi="Times New Roman" w:cs="Times New Roman"/>
                <w:color w:val="212121"/>
                <w:sz w:val="28"/>
                <w:szCs w:val="28"/>
              </w:rPr>
            </w:pPr>
            <w:r>
              <w:rPr>
                <w:rFonts w:ascii="Times New Roman" w:hAnsi="Times New Roman" w:cs="Times New Roman"/>
                <w:color w:val="212121"/>
                <w:sz w:val="28"/>
                <w:szCs w:val="28"/>
              </w:rPr>
              <w:t xml:space="preserve">Розглянуто Харківською міською радою та виконкомом Харківської міської ради   </w:t>
            </w:r>
          </w:p>
        </w:tc>
        <w:tc>
          <w:tcPr>
            <w:tcW w:w="868" w:type="pct"/>
          </w:tcPr>
          <w:p w:rsidR="00143BBA" w:rsidRDefault="00143BBA" w:rsidP="00390A93">
            <w:pPr>
              <w:pStyle w:val="HTMLPreformatted"/>
              <w:jc w:val="both"/>
              <w:rPr>
                <w:rFonts w:ascii="Times New Roman" w:hAnsi="Times New Roman" w:cs="Times New Roman"/>
                <w:color w:val="212121"/>
                <w:sz w:val="28"/>
                <w:szCs w:val="28"/>
              </w:rPr>
            </w:pPr>
            <w:r>
              <w:rPr>
                <w:rFonts w:ascii="Times New Roman" w:hAnsi="Times New Roman" w:cs="Times New Roman"/>
                <w:color w:val="212121"/>
                <w:sz w:val="28"/>
                <w:szCs w:val="28"/>
              </w:rPr>
              <w:t xml:space="preserve">         3</w:t>
            </w:r>
          </w:p>
        </w:tc>
      </w:tr>
    </w:tbl>
    <w:p w:rsidR="00143BBA" w:rsidRDefault="00143BBA" w:rsidP="008D7D94">
      <w:pPr>
        <w:pStyle w:val="HTMLPreformatted"/>
        <w:shd w:val="clear" w:color="auto" w:fill="FFFFFF"/>
        <w:jc w:val="both"/>
        <w:rPr>
          <w:rFonts w:ascii="Times New Roman" w:hAnsi="Times New Roman" w:cs="Times New Roman"/>
          <w:color w:val="212121"/>
          <w:sz w:val="28"/>
          <w:szCs w:val="28"/>
        </w:rPr>
      </w:pPr>
      <w:r>
        <w:rPr>
          <w:rFonts w:ascii="Times New Roman" w:hAnsi="Times New Roman" w:cs="Times New Roman"/>
          <w:color w:val="212121"/>
          <w:sz w:val="28"/>
          <w:szCs w:val="28"/>
        </w:rPr>
        <w:tab/>
      </w:r>
    </w:p>
    <w:p w:rsidR="00143BBA" w:rsidRPr="00204F5B" w:rsidRDefault="00143BBA" w:rsidP="008D7D94">
      <w:pPr>
        <w:pStyle w:val="HTMLPreformatted"/>
        <w:shd w:val="clear" w:color="auto" w:fill="FFFFFF"/>
        <w:ind w:firstLine="709"/>
        <w:jc w:val="both"/>
        <w:rPr>
          <w:rFonts w:ascii="Times New Roman" w:hAnsi="Times New Roman" w:cs="Times New Roman"/>
          <w:color w:val="212121"/>
          <w:sz w:val="28"/>
          <w:szCs w:val="28"/>
        </w:rPr>
      </w:pPr>
      <w:r>
        <w:rPr>
          <w:rFonts w:ascii="Times New Roman" w:hAnsi="Times New Roman" w:cs="Times New Roman"/>
          <w:color w:val="212121"/>
          <w:sz w:val="28"/>
          <w:szCs w:val="28"/>
        </w:rPr>
        <w:t xml:space="preserve">У </w:t>
      </w:r>
      <w:r>
        <w:rPr>
          <w:rFonts w:ascii="Times New Roman" w:hAnsi="Times New Roman" w:cs="Times New Roman"/>
          <w:color w:val="212121"/>
          <w:sz w:val="28"/>
          <w:szCs w:val="28"/>
          <w:lang w:val="en-US"/>
        </w:rPr>
        <w:t>I</w:t>
      </w:r>
      <w:r>
        <w:rPr>
          <w:rFonts w:ascii="Times New Roman" w:hAnsi="Times New Roman" w:cs="Times New Roman"/>
          <w:color w:val="212121"/>
          <w:sz w:val="28"/>
          <w:szCs w:val="28"/>
        </w:rPr>
        <w:t xml:space="preserve"> кварталі 2020 року проводилась робота з відстеження результативності регуляторних актів. Розроблено План - графік виконання заходів з відстеження результативності регуляторних актів виконавчими органами Харківської міської ради на 2020 рік. Проаналізовано 2 звіти з відстеження результативності регуляторних актів. Звіти з відстеження оприлюднені у ЗМІ.</w:t>
      </w:r>
    </w:p>
    <w:p w:rsidR="00143BBA" w:rsidRPr="00204F5B" w:rsidRDefault="00143BBA" w:rsidP="008D7D94">
      <w:pPr>
        <w:pStyle w:val="HTMLPreformatted"/>
        <w:shd w:val="clear" w:color="auto" w:fill="FFFFFF"/>
        <w:jc w:val="both"/>
        <w:rPr>
          <w:rFonts w:ascii="Times New Roman" w:hAnsi="Times New Roman" w:cs="Times New Roman"/>
          <w:color w:val="212121"/>
          <w:sz w:val="28"/>
          <w:szCs w:val="28"/>
        </w:rPr>
      </w:pPr>
    </w:p>
    <w:p w:rsidR="00143BBA" w:rsidRPr="00204F5B" w:rsidRDefault="00143BBA" w:rsidP="008D7D94">
      <w:pPr>
        <w:pStyle w:val="HTMLPreformatted"/>
        <w:shd w:val="clear" w:color="auto" w:fill="FFFFFF"/>
        <w:jc w:val="both"/>
        <w:rPr>
          <w:rFonts w:ascii="Times New Roman" w:hAnsi="Times New Roman" w:cs="Times New Roman"/>
          <w:color w:val="212121"/>
          <w:sz w:val="28"/>
          <w:szCs w:val="28"/>
        </w:rPr>
      </w:pPr>
    </w:p>
    <w:p w:rsidR="00143BBA" w:rsidRPr="00204F5B" w:rsidRDefault="00143BBA" w:rsidP="008D7D94">
      <w:pPr>
        <w:pStyle w:val="HTMLPreformatted"/>
        <w:shd w:val="clear" w:color="auto" w:fill="FFFFFF"/>
        <w:jc w:val="both"/>
        <w:rPr>
          <w:rFonts w:ascii="Times New Roman" w:hAnsi="Times New Roman" w:cs="Times New Roman"/>
          <w:color w:val="212121"/>
          <w:sz w:val="28"/>
          <w:szCs w:val="28"/>
        </w:rPr>
      </w:pPr>
    </w:p>
    <w:p w:rsidR="00143BBA" w:rsidRPr="00204F5B" w:rsidRDefault="00143BBA" w:rsidP="008D7D94">
      <w:pPr>
        <w:pStyle w:val="HTMLPreformatted"/>
        <w:shd w:val="clear" w:color="auto" w:fill="FFFFFF"/>
        <w:jc w:val="both"/>
        <w:rPr>
          <w:rFonts w:ascii="Times New Roman" w:hAnsi="Times New Roman" w:cs="Times New Roman"/>
          <w:color w:val="212121"/>
          <w:sz w:val="28"/>
          <w:szCs w:val="28"/>
        </w:rPr>
      </w:pPr>
    </w:p>
    <w:p w:rsidR="00143BBA" w:rsidRDefault="00143BBA" w:rsidP="008D7D94">
      <w:pPr>
        <w:pStyle w:val="8"/>
        <w:tabs>
          <w:tab w:val="left" w:pos="709"/>
        </w:tabs>
        <w:ind w:left="7788"/>
        <w:jc w:val="center"/>
        <w:rPr>
          <w:snapToGrid w:val="0"/>
          <w:sz w:val="22"/>
          <w:szCs w:val="22"/>
          <w:lang w:val="uk-UA"/>
        </w:rPr>
      </w:pPr>
    </w:p>
    <w:p w:rsidR="00143BBA" w:rsidRDefault="00143BBA" w:rsidP="008D7D94">
      <w:pPr>
        <w:pStyle w:val="8"/>
        <w:tabs>
          <w:tab w:val="left" w:pos="709"/>
        </w:tabs>
        <w:ind w:left="7788"/>
        <w:jc w:val="center"/>
        <w:rPr>
          <w:snapToGrid w:val="0"/>
          <w:sz w:val="22"/>
          <w:szCs w:val="22"/>
          <w:lang w:val="uk-UA"/>
        </w:rPr>
      </w:pPr>
    </w:p>
    <w:p w:rsidR="00143BBA" w:rsidRPr="009B39B5" w:rsidRDefault="00143BBA" w:rsidP="0037530C">
      <w:pPr>
        <w:tabs>
          <w:tab w:val="left" w:pos="1833"/>
          <w:tab w:val="left" w:pos="6293"/>
          <w:tab w:val="left" w:pos="7343"/>
          <w:tab w:val="left" w:pos="8243"/>
        </w:tabs>
        <w:ind w:left="93"/>
        <w:jc w:val="right"/>
        <w:rPr>
          <w:rFonts w:eastAsia="MS Mincho"/>
          <w:color w:val="0D0D0D"/>
          <w:sz w:val="22"/>
          <w:szCs w:val="22"/>
          <w:lang w:val="uk-UA" w:eastAsia="ja-JP"/>
        </w:rPr>
      </w:pPr>
      <w:r w:rsidRPr="009B39B5">
        <w:rPr>
          <w:rFonts w:eastAsia="MS Mincho"/>
          <w:color w:val="0D0D0D"/>
          <w:sz w:val="22"/>
          <w:szCs w:val="22"/>
          <w:lang w:val="uk-UA" w:eastAsia="ja-JP"/>
        </w:rPr>
        <w:t>Додаток 1</w:t>
      </w:r>
    </w:p>
    <w:p w:rsidR="00143BBA" w:rsidRPr="009B39B5" w:rsidRDefault="00143BBA" w:rsidP="0037530C">
      <w:pPr>
        <w:tabs>
          <w:tab w:val="left" w:pos="1833"/>
          <w:tab w:val="left" w:pos="6293"/>
          <w:tab w:val="left" w:pos="7343"/>
          <w:tab w:val="left" w:pos="8243"/>
        </w:tabs>
        <w:jc w:val="center"/>
        <w:rPr>
          <w:rFonts w:eastAsia="MS Mincho"/>
          <w:b/>
          <w:color w:val="0D0D0D"/>
          <w:sz w:val="22"/>
          <w:szCs w:val="22"/>
          <w:lang w:val="uk-UA" w:eastAsia="ja-JP"/>
        </w:rPr>
      </w:pPr>
      <w:r w:rsidRPr="009B39B5">
        <w:rPr>
          <w:rFonts w:eastAsia="MS Mincho"/>
          <w:b/>
          <w:color w:val="0D0D0D"/>
          <w:sz w:val="22"/>
          <w:szCs w:val="22"/>
          <w:lang w:val="uk-UA" w:eastAsia="ja-JP"/>
        </w:rPr>
        <w:t>Виробництво найважливіших видів промислової продукції</w:t>
      </w:r>
    </w:p>
    <w:p w:rsidR="00143BBA" w:rsidRPr="009B39B5" w:rsidRDefault="00143BBA" w:rsidP="0037530C">
      <w:pPr>
        <w:tabs>
          <w:tab w:val="left" w:pos="1833"/>
          <w:tab w:val="left" w:pos="6293"/>
          <w:tab w:val="left" w:pos="7343"/>
          <w:tab w:val="left" w:pos="8243"/>
        </w:tabs>
        <w:ind w:left="93"/>
        <w:jc w:val="center"/>
        <w:rPr>
          <w:rFonts w:eastAsia="MS Mincho"/>
          <w:b/>
          <w:color w:val="0D0D0D"/>
          <w:sz w:val="22"/>
          <w:szCs w:val="22"/>
          <w:lang w:val="uk-UA" w:eastAsia="ja-JP"/>
        </w:rPr>
      </w:pPr>
      <w:r w:rsidRPr="009B39B5">
        <w:rPr>
          <w:rFonts w:eastAsia="MS Mincho"/>
          <w:b/>
          <w:color w:val="0D0D0D"/>
          <w:sz w:val="22"/>
          <w:szCs w:val="22"/>
          <w:lang w:val="uk-UA" w:eastAsia="ja-JP"/>
        </w:rPr>
        <w:t>по м. Харкову за січень–лютий 2020 року</w:t>
      </w:r>
    </w:p>
    <w:p w:rsidR="00143BBA" w:rsidRPr="009B39B5" w:rsidRDefault="00143BBA" w:rsidP="0037530C">
      <w:pPr>
        <w:tabs>
          <w:tab w:val="left" w:pos="1833"/>
          <w:tab w:val="left" w:pos="6293"/>
          <w:tab w:val="left" w:pos="7343"/>
          <w:tab w:val="left" w:pos="8243"/>
        </w:tabs>
        <w:ind w:left="93"/>
        <w:jc w:val="right"/>
        <w:rPr>
          <w:rFonts w:eastAsia="MS Mincho"/>
          <w:sz w:val="22"/>
          <w:szCs w:val="22"/>
          <w:lang w:val="uk-UA"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4"/>
        <w:gridCol w:w="1757"/>
        <w:gridCol w:w="2558"/>
        <w:gridCol w:w="2472"/>
      </w:tblGrid>
      <w:tr w:rsidR="00143BBA" w:rsidRPr="009B39B5" w:rsidTr="0037530C">
        <w:trPr>
          <w:trHeight w:val="20"/>
          <w:tblHeader/>
        </w:trPr>
        <w:tc>
          <w:tcPr>
            <w:tcW w:w="2273" w:type="pct"/>
          </w:tcPr>
          <w:p w:rsidR="00143BBA" w:rsidRPr="009B39B5" w:rsidRDefault="00143BBA">
            <w:pPr>
              <w:jc w:val="center"/>
              <w:rPr>
                <w:rFonts w:eastAsia="MS Mincho"/>
                <w:sz w:val="22"/>
                <w:szCs w:val="22"/>
                <w:lang w:val="uk-UA" w:eastAsia="ja-JP"/>
              </w:rPr>
            </w:pPr>
          </w:p>
        </w:tc>
        <w:tc>
          <w:tcPr>
            <w:tcW w:w="730" w:type="pct"/>
            <w:noWrap/>
            <w:vAlign w:val="center"/>
          </w:tcPr>
          <w:p w:rsidR="00143BBA" w:rsidRPr="009B39B5" w:rsidRDefault="00143BBA">
            <w:pPr>
              <w:jc w:val="center"/>
              <w:rPr>
                <w:rFonts w:eastAsia="MS Mincho"/>
                <w:sz w:val="22"/>
                <w:szCs w:val="22"/>
                <w:lang w:val="uk-UA" w:eastAsia="ja-JP"/>
              </w:rPr>
            </w:pPr>
            <w:r w:rsidRPr="009B39B5">
              <w:rPr>
                <w:rFonts w:eastAsia="MS Mincho"/>
                <w:sz w:val="22"/>
                <w:szCs w:val="22"/>
                <w:lang w:val="uk-UA" w:eastAsia="ja-JP"/>
              </w:rPr>
              <w:t>Вироблено</w:t>
            </w:r>
          </w:p>
          <w:p w:rsidR="00143BBA" w:rsidRPr="009B39B5" w:rsidRDefault="00143BBA">
            <w:pPr>
              <w:jc w:val="center"/>
              <w:rPr>
                <w:rFonts w:eastAsia="MS Mincho"/>
                <w:sz w:val="22"/>
                <w:szCs w:val="22"/>
                <w:lang w:val="uk-UA" w:eastAsia="ja-JP"/>
              </w:rPr>
            </w:pPr>
            <w:r w:rsidRPr="009B39B5">
              <w:rPr>
                <w:rFonts w:eastAsia="MS Mincho"/>
                <w:sz w:val="22"/>
                <w:szCs w:val="22"/>
                <w:lang w:val="uk-UA" w:eastAsia="ja-JP"/>
              </w:rPr>
              <w:t>за січень–лютий</w:t>
            </w:r>
          </w:p>
          <w:p w:rsidR="00143BBA" w:rsidRPr="009B39B5" w:rsidRDefault="00143BBA">
            <w:pPr>
              <w:jc w:val="center"/>
              <w:rPr>
                <w:rFonts w:eastAsia="MS Mincho"/>
                <w:sz w:val="22"/>
                <w:szCs w:val="22"/>
                <w:lang w:val="uk-UA" w:eastAsia="ja-JP"/>
              </w:rPr>
            </w:pPr>
            <w:r w:rsidRPr="009B39B5">
              <w:rPr>
                <w:rFonts w:eastAsia="MS Mincho"/>
                <w:sz w:val="22"/>
                <w:szCs w:val="22"/>
                <w:lang w:val="uk-UA" w:eastAsia="ja-JP"/>
              </w:rPr>
              <w:t>2020 р.</w:t>
            </w:r>
          </w:p>
        </w:tc>
        <w:tc>
          <w:tcPr>
            <w:tcW w:w="979" w:type="pct"/>
            <w:noWrap/>
            <w:vAlign w:val="center"/>
          </w:tcPr>
          <w:p w:rsidR="00143BBA" w:rsidRPr="009B39B5" w:rsidRDefault="00143BBA">
            <w:pPr>
              <w:jc w:val="center"/>
              <w:rPr>
                <w:rFonts w:eastAsia="MS Mincho"/>
                <w:sz w:val="22"/>
                <w:szCs w:val="22"/>
                <w:lang w:val="uk-UA" w:eastAsia="ja-JP"/>
              </w:rPr>
            </w:pPr>
            <w:r w:rsidRPr="009B39B5">
              <w:rPr>
                <w:rFonts w:eastAsia="MS Mincho"/>
                <w:sz w:val="22"/>
                <w:szCs w:val="22"/>
                <w:lang w:val="uk-UA" w:eastAsia="ja-JP"/>
              </w:rPr>
              <w:t>Січень–лютий 2020 р. до</w:t>
            </w:r>
          </w:p>
          <w:p w:rsidR="00143BBA" w:rsidRPr="009B39B5" w:rsidRDefault="00143BBA">
            <w:pPr>
              <w:jc w:val="center"/>
              <w:rPr>
                <w:rFonts w:eastAsia="MS Mincho"/>
                <w:sz w:val="22"/>
                <w:szCs w:val="22"/>
                <w:lang w:val="uk-UA" w:eastAsia="ja-JP"/>
              </w:rPr>
            </w:pPr>
            <w:r w:rsidRPr="009B39B5">
              <w:rPr>
                <w:rFonts w:eastAsia="MS Mincho"/>
                <w:sz w:val="22"/>
                <w:szCs w:val="22"/>
                <w:lang w:val="uk-UA" w:eastAsia="ja-JP"/>
              </w:rPr>
              <w:t xml:space="preserve">січня–лютого </w:t>
            </w:r>
          </w:p>
          <w:p w:rsidR="00143BBA" w:rsidRPr="009B39B5" w:rsidRDefault="00143BBA">
            <w:pPr>
              <w:jc w:val="center"/>
              <w:rPr>
                <w:rFonts w:eastAsia="MS Mincho"/>
                <w:sz w:val="22"/>
                <w:szCs w:val="22"/>
                <w:lang w:val="uk-UA" w:eastAsia="ja-JP"/>
              </w:rPr>
            </w:pPr>
            <w:r w:rsidRPr="009B39B5">
              <w:rPr>
                <w:rFonts w:eastAsia="MS Mincho"/>
                <w:sz w:val="22"/>
                <w:szCs w:val="22"/>
                <w:lang w:val="uk-UA" w:eastAsia="ja-JP"/>
              </w:rPr>
              <w:t>2019 р., у %</w:t>
            </w:r>
          </w:p>
        </w:tc>
        <w:tc>
          <w:tcPr>
            <w:tcW w:w="1018" w:type="pct"/>
            <w:noWrap/>
            <w:vAlign w:val="center"/>
          </w:tcPr>
          <w:p w:rsidR="00143BBA" w:rsidRPr="009B39B5" w:rsidRDefault="00143BBA">
            <w:pPr>
              <w:jc w:val="center"/>
              <w:rPr>
                <w:rFonts w:eastAsia="MS Mincho"/>
                <w:sz w:val="22"/>
                <w:szCs w:val="22"/>
                <w:lang w:val="uk-UA" w:eastAsia="ja-JP"/>
              </w:rPr>
            </w:pPr>
            <w:r w:rsidRPr="009B39B5">
              <w:rPr>
                <w:rFonts w:eastAsia="MS Mincho"/>
                <w:sz w:val="22"/>
                <w:szCs w:val="22"/>
                <w:lang w:val="uk-UA" w:eastAsia="ja-JP"/>
              </w:rPr>
              <w:t>Вироблено більше,</w:t>
            </w:r>
          </w:p>
          <w:p w:rsidR="00143BBA" w:rsidRPr="009B39B5" w:rsidRDefault="00143BBA">
            <w:pPr>
              <w:jc w:val="center"/>
              <w:rPr>
                <w:rFonts w:eastAsia="MS Mincho"/>
                <w:sz w:val="22"/>
                <w:szCs w:val="22"/>
                <w:lang w:val="uk-UA" w:eastAsia="ja-JP"/>
              </w:rPr>
            </w:pPr>
            <w:r w:rsidRPr="009B39B5">
              <w:rPr>
                <w:rFonts w:eastAsia="MS Mincho"/>
                <w:sz w:val="22"/>
                <w:szCs w:val="22"/>
                <w:lang w:val="uk-UA" w:eastAsia="ja-JP"/>
              </w:rPr>
              <w:t>менше (–), ніж</w:t>
            </w:r>
          </w:p>
          <w:p w:rsidR="00143BBA" w:rsidRPr="009B39B5" w:rsidRDefault="00143BBA">
            <w:pPr>
              <w:jc w:val="center"/>
              <w:rPr>
                <w:rFonts w:eastAsia="MS Mincho"/>
                <w:sz w:val="22"/>
                <w:szCs w:val="22"/>
                <w:lang w:val="uk-UA" w:eastAsia="ja-JP"/>
              </w:rPr>
            </w:pPr>
            <w:r w:rsidRPr="009B39B5">
              <w:rPr>
                <w:rFonts w:eastAsia="MS Mincho"/>
                <w:sz w:val="22"/>
                <w:szCs w:val="22"/>
                <w:lang w:val="uk-UA" w:eastAsia="ja-JP"/>
              </w:rPr>
              <w:t>за січень–лютий 2019 р.</w:t>
            </w:r>
          </w:p>
        </w:tc>
      </w:tr>
      <w:tr w:rsidR="00143BBA" w:rsidRPr="009B39B5" w:rsidTr="0037530C">
        <w:trPr>
          <w:trHeight w:val="20"/>
        </w:trPr>
        <w:tc>
          <w:tcPr>
            <w:tcW w:w="2273" w:type="pct"/>
          </w:tcPr>
          <w:p w:rsidR="00143BBA" w:rsidRPr="009B39B5" w:rsidRDefault="00143BBA">
            <w:pPr>
              <w:spacing w:line="240" w:lineRule="exact"/>
              <w:rPr>
                <w:rFonts w:eastAsia="MS Mincho"/>
                <w:sz w:val="22"/>
                <w:szCs w:val="22"/>
                <w:lang w:val="uk-UA" w:eastAsia="ja-JP"/>
              </w:rPr>
            </w:pPr>
            <w:r w:rsidRPr="009B39B5">
              <w:rPr>
                <w:rFonts w:eastAsia="MS Mincho"/>
                <w:sz w:val="22"/>
                <w:szCs w:val="22"/>
                <w:lang w:val="uk-UA" w:eastAsia="ja-JP"/>
              </w:rPr>
              <w:t>Яловичина і телятина, свіжі чи охолод-жені - туші, напівтуші, четвертини не-обвалені, 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spacing w:line="240" w:lineRule="exact"/>
              <w:rPr>
                <w:rFonts w:eastAsia="MS Mincho"/>
                <w:sz w:val="22"/>
                <w:szCs w:val="22"/>
                <w:lang w:val="uk-UA" w:eastAsia="ja-JP"/>
              </w:rPr>
            </w:pPr>
            <w:r w:rsidRPr="009B39B5">
              <w:rPr>
                <w:sz w:val="22"/>
                <w:szCs w:val="22"/>
              </w:rPr>
              <w:t>Свинина свіжа чи охолоджена - туші, напівтуші (уключаючи оброблені сіллю чи консервантами для тимчасового зберігання), 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sz w:val="22"/>
                <w:szCs w:val="22"/>
                <w:lang w:val="uk-UA"/>
              </w:rPr>
              <w:t>М'ясо к</w:t>
            </w:r>
            <w:r w:rsidRPr="009B39B5">
              <w:rPr>
                <w:sz w:val="22"/>
                <w:szCs w:val="22"/>
              </w:rPr>
              <w:t>ур</w:t>
            </w:r>
            <w:r w:rsidRPr="009B39B5">
              <w:rPr>
                <w:sz w:val="22"/>
                <w:szCs w:val="22"/>
                <w:lang w:val="uk-UA"/>
              </w:rPr>
              <w:t>ей</w:t>
            </w:r>
            <w:r w:rsidRPr="009B39B5">
              <w:rPr>
                <w:sz w:val="22"/>
                <w:szCs w:val="22"/>
              </w:rPr>
              <w:t>, курчат</w:t>
            </w:r>
            <w:r w:rsidRPr="009B39B5">
              <w:rPr>
                <w:sz w:val="22"/>
                <w:szCs w:val="22"/>
                <w:lang w:val="uk-UA"/>
              </w:rPr>
              <w:t>, свіже чи охолоджене – </w:t>
            </w:r>
            <w:r w:rsidRPr="009B39B5">
              <w:rPr>
                <w:sz w:val="22"/>
                <w:szCs w:val="22"/>
              </w:rPr>
              <w:t>частини тушок, 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spacing w:line="240" w:lineRule="exact"/>
              <w:rPr>
                <w:rFonts w:eastAsia="MS Mincho"/>
                <w:sz w:val="22"/>
                <w:szCs w:val="22"/>
                <w:lang w:val="uk-UA" w:eastAsia="ja-JP"/>
              </w:rPr>
            </w:pPr>
            <w:r w:rsidRPr="009B39B5">
              <w:rPr>
                <w:sz w:val="22"/>
                <w:szCs w:val="22"/>
                <w:lang w:val="uk-UA"/>
              </w:rPr>
              <w:t>Вироби ковбасні та подібні продукти з м’яса, субпродуктів чи крові тварин та подібні вироби і харчові продукти на їхній основі (крім виробів ковбасних з печінки та страв готових), т</w:t>
            </w:r>
          </w:p>
        </w:tc>
        <w:tc>
          <w:tcPr>
            <w:tcW w:w="730" w:type="pct"/>
            <w:noWrap/>
            <w:vAlign w:val="bottom"/>
          </w:tcPr>
          <w:p w:rsidR="00143BBA" w:rsidRPr="009B39B5" w:rsidRDefault="00143BBA">
            <w:pPr>
              <w:jc w:val="right"/>
              <w:rPr>
                <w:color w:val="000000"/>
                <w:sz w:val="22"/>
                <w:szCs w:val="22"/>
                <w:lang w:val="uk-UA" w:eastAsia="uk-UA"/>
              </w:rPr>
            </w:pPr>
            <w:r w:rsidRPr="009B39B5">
              <w:rPr>
                <w:color w:val="000000"/>
                <w:sz w:val="22"/>
                <w:szCs w:val="22"/>
              </w:rPr>
              <w:t>2561,6</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109,2</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215,6</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Оселедці солоні, 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spacing w:line="240" w:lineRule="exact"/>
              <w:rPr>
                <w:rFonts w:eastAsia="MS Mincho"/>
                <w:sz w:val="22"/>
                <w:szCs w:val="22"/>
                <w:lang w:val="uk-UA" w:eastAsia="ja-JP"/>
              </w:rPr>
            </w:pPr>
            <w:r w:rsidRPr="009B39B5">
              <w:rPr>
                <w:sz w:val="22"/>
                <w:szCs w:val="22"/>
              </w:rPr>
              <w:t>Джем, мармелад, пюре, желе, конфітюри, повидло, варення, з інших плодів і горіхів, піддані тепловому обробленню (крім продуктів гомогенізованих), т</w:t>
            </w:r>
          </w:p>
        </w:tc>
        <w:tc>
          <w:tcPr>
            <w:tcW w:w="730" w:type="pct"/>
            <w:noWrap/>
            <w:vAlign w:val="bottom"/>
          </w:tcPr>
          <w:p w:rsidR="00143BBA" w:rsidRPr="009B39B5" w:rsidRDefault="00143BBA">
            <w:pPr>
              <w:jc w:val="right"/>
              <w:rPr>
                <w:color w:val="000000"/>
                <w:sz w:val="22"/>
                <w:szCs w:val="22"/>
                <w:lang w:val="uk-UA" w:eastAsia="uk-UA"/>
              </w:rPr>
            </w:pPr>
            <w:r w:rsidRPr="009B39B5">
              <w:rPr>
                <w:color w:val="000000"/>
                <w:sz w:val="22"/>
                <w:szCs w:val="22"/>
              </w:rPr>
              <w:t>570,5</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114,8</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73,5</w:t>
            </w:r>
          </w:p>
        </w:tc>
      </w:tr>
      <w:tr w:rsidR="00143BBA" w:rsidRPr="009B39B5" w:rsidTr="0037530C">
        <w:trPr>
          <w:trHeight w:val="20"/>
        </w:trPr>
        <w:tc>
          <w:tcPr>
            <w:tcW w:w="2273" w:type="pct"/>
          </w:tcPr>
          <w:p w:rsidR="00143BBA" w:rsidRPr="009B39B5" w:rsidRDefault="00143BBA">
            <w:pPr>
              <w:spacing w:line="240" w:lineRule="exact"/>
              <w:rPr>
                <w:rFonts w:eastAsia="MS Mincho"/>
                <w:sz w:val="22"/>
                <w:szCs w:val="22"/>
                <w:lang w:val="uk-UA" w:eastAsia="ja-JP"/>
              </w:rPr>
            </w:pPr>
            <w:r w:rsidRPr="009B39B5">
              <w:rPr>
                <w:color w:val="000000"/>
                <w:sz w:val="22"/>
                <w:szCs w:val="22"/>
                <w:lang w:val="uk-UA"/>
              </w:rPr>
              <w:t>Маргарин і продукти пастоподібні зі зниженим чи низьким вмістом жирів (крім маргарину рідкого), 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spacing w:line="240" w:lineRule="exact"/>
              <w:rPr>
                <w:rFonts w:eastAsia="MS Mincho"/>
                <w:sz w:val="22"/>
                <w:szCs w:val="22"/>
                <w:lang w:val="uk-UA" w:eastAsia="ja-JP"/>
              </w:rPr>
            </w:pPr>
            <w:r w:rsidRPr="009B39B5">
              <w:rPr>
                <w:color w:val="000000"/>
                <w:sz w:val="22"/>
                <w:szCs w:val="22"/>
                <w:lang w:val="uk-UA"/>
              </w:rPr>
              <w:t xml:space="preserve">Молоко та вершки незгущені й без додавання цукру чи інших підсолоджувальних речовин жирністю більше 1%, але не більше 6%, у первинних пакуваннях об’ємом нетто не більше </w:t>
            </w:r>
            <w:smartTag w:uri="urn:schemas-microsoft-com:office:smarttags" w:element="metricconverter">
              <w:smartTagPr>
                <w:attr w:name="ProductID" w:val="2 л"/>
              </w:smartTagPr>
              <w:r w:rsidRPr="009B39B5">
                <w:rPr>
                  <w:color w:val="000000"/>
                  <w:sz w:val="22"/>
                  <w:szCs w:val="22"/>
                  <w:lang w:val="uk-UA"/>
                </w:rPr>
                <w:t>2 л</w:t>
              </w:r>
            </w:smartTag>
            <w:r w:rsidRPr="009B39B5">
              <w:rPr>
                <w:color w:val="000000"/>
                <w:sz w:val="22"/>
                <w:szCs w:val="22"/>
                <w:lang w:val="uk-UA"/>
              </w:rPr>
              <w:t>, 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sz w:val="22"/>
                <w:szCs w:val="22"/>
              </w:rPr>
              <w:t>Масло вершкове жирністю не більше 85%, 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Cир свіжий неферментований (недозрілий і невитриманий; уключаючи сир із молочної сироватки та кисломолочний сир), 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spacing w:val="-2"/>
                <w:sz w:val="22"/>
                <w:szCs w:val="22"/>
              </w:rPr>
              <w:t>Молоко і вершки коагульовані, йогурт, кефір, сметана та інші ферментовані продукти, т</w:t>
            </w:r>
          </w:p>
        </w:tc>
        <w:tc>
          <w:tcPr>
            <w:tcW w:w="730" w:type="pct"/>
            <w:noWrap/>
            <w:vAlign w:val="bottom"/>
          </w:tcPr>
          <w:p w:rsidR="00143BBA" w:rsidRPr="009B39B5" w:rsidRDefault="00143BBA">
            <w:pPr>
              <w:jc w:val="right"/>
              <w:rPr>
                <w:color w:val="000000"/>
                <w:sz w:val="22"/>
                <w:szCs w:val="22"/>
                <w:lang w:val="uk-UA" w:eastAsia="uk-UA"/>
              </w:rPr>
            </w:pPr>
            <w:r w:rsidRPr="009B39B5">
              <w:rPr>
                <w:color w:val="000000"/>
                <w:sz w:val="22"/>
                <w:szCs w:val="22"/>
              </w:rPr>
              <w:t>315,8</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21,9</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-1127,2</w:t>
            </w:r>
          </w:p>
        </w:tc>
      </w:tr>
      <w:tr w:rsidR="00143BBA" w:rsidRPr="009B39B5" w:rsidTr="0037530C">
        <w:trPr>
          <w:trHeight w:val="20"/>
        </w:trPr>
        <w:tc>
          <w:tcPr>
            <w:tcW w:w="2273" w:type="pct"/>
          </w:tcPr>
          <w:p w:rsidR="00143BBA" w:rsidRPr="009B39B5" w:rsidRDefault="00143BBA">
            <w:pPr>
              <w:spacing w:line="240" w:lineRule="exact"/>
              <w:rPr>
                <w:rFonts w:eastAsia="MS Mincho"/>
                <w:sz w:val="22"/>
                <w:szCs w:val="22"/>
                <w:lang w:val="uk-UA" w:eastAsia="ja-JP"/>
              </w:rPr>
            </w:pPr>
            <w:r w:rsidRPr="009B39B5">
              <w:rPr>
                <w:spacing w:val="-2"/>
                <w:sz w:val="22"/>
                <w:szCs w:val="22"/>
                <w:lang w:val="uk-UA"/>
              </w:rPr>
              <w:t>Йогурт рідкий та сквашене молоко ароматизовані (молоко і вершки коагульовані, йогурт, кефір, сметана та інші ферментовані продукти, ароматизовані або з доданням фруктів, горіхів або какао), 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sz w:val="22"/>
                <w:szCs w:val="22"/>
              </w:rPr>
              <w:t>Борошно пшеничне чи пшенично-житнє, 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Хліб та вироби хлібобулочні, нетривалого зберігання,  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3356,3</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93,9</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-219,7</w:t>
            </w:r>
          </w:p>
        </w:tc>
      </w:tr>
      <w:tr w:rsidR="00143BBA" w:rsidRPr="009B39B5" w:rsidTr="0037530C">
        <w:trPr>
          <w:trHeight w:val="20"/>
        </w:trPr>
        <w:tc>
          <w:tcPr>
            <w:tcW w:w="2273" w:type="pct"/>
          </w:tcPr>
          <w:p w:rsidR="00143BBA" w:rsidRPr="009B39B5" w:rsidRDefault="00143BBA">
            <w:pPr>
              <w:spacing w:line="240" w:lineRule="exact"/>
              <w:rPr>
                <w:rFonts w:eastAsia="MS Mincho"/>
                <w:sz w:val="22"/>
                <w:szCs w:val="22"/>
                <w:lang w:val="uk-UA" w:eastAsia="ja-JP"/>
              </w:rPr>
            </w:pPr>
            <w:r w:rsidRPr="009B39B5">
              <w:rPr>
                <w:sz w:val="22"/>
                <w:szCs w:val="22"/>
                <w:lang w:val="uk-UA"/>
              </w:rPr>
              <w:t>Печиво солодке, вафлі та вафельні облатки, частково чи повністю покриті шоколадом або іншими сумішами, що містять какао, 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951,0</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105,0</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45,0</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color w:val="000000"/>
                <w:sz w:val="22"/>
                <w:szCs w:val="22"/>
                <w:lang w:val="uk-UA"/>
              </w:rPr>
              <w:t>Вафлі та вафельні облатки (уключаючи солоні; крім частково чи повністю покритих шоколадом або іншими сумішами, що містять какао), 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1320,4</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88,9</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-164,6</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sz w:val="22"/>
                <w:szCs w:val="22"/>
              </w:rPr>
              <w:t>Вироби макаронні неварені (крім виробів із вмістом яєць, з начинкою або приготовлених іншим способом), 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sz w:val="22"/>
                <w:szCs w:val="22"/>
                <w:highlight w:val="yellow"/>
              </w:rPr>
            </w:pPr>
            <w:r w:rsidRPr="009B39B5">
              <w:rPr>
                <w:sz w:val="22"/>
                <w:szCs w:val="22"/>
              </w:rPr>
              <w:t>Цукерки шоколадні (крім цукерок із вмістом алкоголю, шоколаду в брикетах, пластинах чи плитках), т</w:t>
            </w:r>
          </w:p>
        </w:tc>
        <w:tc>
          <w:tcPr>
            <w:tcW w:w="730" w:type="pct"/>
            <w:tcBorders>
              <w:top w:val="nil"/>
              <w:left w:val="nil"/>
              <w:bottom w:val="nil"/>
              <w:righ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546,1</w:t>
            </w:r>
          </w:p>
        </w:tc>
        <w:tc>
          <w:tcPr>
            <w:tcW w:w="979" w:type="pct"/>
            <w:tcBorders>
              <w:top w:val="nil"/>
              <w:left w:val="nil"/>
              <w:bottom w:val="nil"/>
              <w:right w:val="nil"/>
            </w:tcBorders>
            <w:noWrap/>
            <w:vAlign w:val="bottom"/>
          </w:tcPr>
          <w:p w:rsidR="00143BBA" w:rsidRPr="009B39B5" w:rsidRDefault="00143BBA">
            <w:pPr>
              <w:jc w:val="right"/>
              <w:rPr>
                <w:color w:val="000000"/>
                <w:sz w:val="22"/>
                <w:szCs w:val="22"/>
              </w:rPr>
            </w:pPr>
            <w:r w:rsidRPr="009B39B5">
              <w:rPr>
                <w:color w:val="000000"/>
                <w:sz w:val="22"/>
                <w:szCs w:val="22"/>
              </w:rPr>
              <w:t>93,5</w:t>
            </w:r>
          </w:p>
        </w:tc>
        <w:tc>
          <w:tcPr>
            <w:tcW w:w="1018" w:type="pct"/>
            <w:tcBorders>
              <w:top w:val="nil"/>
              <w:left w:val="nil"/>
              <w:bottom w:val="nil"/>
              <w:right w:val="nil"/>
            </w:tcBorders>
            <w:noWrap/>
            <w:vAlign w:val="bottom"/>
          </w:tcPr>
          <w:p w:rsidR="00143BBA" w:rsidRPr="009B39B5" w:rsidRDefault="00143BBA">
            <w:pPr>
              <w:jc w:val="right"/>
              <w:rPr>
                <w:color w:val="000000"/>
                <w:sz w:val="22"/>
                <w:szCs w:val="22"/>
              </w:rPr>
            </w:pPr>
            <w:r w:rsidRPr="009B39B5">
              <w:rPr>
                <w:color w:val="000000"/>
                <w:sz w:val="22"/>
                <w:szCs w:val="22"/>
              </w:rPr>
              <w:t>-37,9</w:t>
            </w:r>
          </w:p>
        </w:tc>
      </w:tr>
      <w:tr w:rsidR="00143BBA" w:rsidRPr="009B39B5" w:rsidTr="0037530C">
        <w:trPr>
          <w:trHeight w:val="20"/>
        </w:trPr>
        <w:tc>
          <w:tcPr>
            <w:tcW w:w="2273" w:type="pct"/>
          </w:tcPr>
          <w:p w:rsidR="00143BBA" w:rsidRPr="009B39B5" w:rsidRDefault="00143BBA">
            <w:pPr>
              <w:rPr>
                <w:sz w:val="22"/>
                <w:szCs w:val="22"/>
                <w:lang w:val="uk-UA"/>
              </w:rPr>
            </w:pPr>
            <w:r w:rsidRPr="009B39B5">
              <w:rPr>
                <w:color w:val="000000"/>
                <w:sz w:val="22"/>
                <w:szCs w:val="22"/>
                <w:lang w:val="uk-UA"/>
              </w:rPr>
              <w:t>Вироби кондитерські з цукру чи його замінників, з вмістом какао (уключаючи шоколадну нугу; крім білого шоколаду), 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sz w:val="22"/>
                <w:szCs w:val="22"/>
                <w:highlight w:val="yellow"/>
              </w:rPr>
            </w:pPr>
            <w:r w:rsidRPr="009B39B5">
              <w:rPr>
                <w:sz w:val="22"/>
                <w:szCs w:val="22"/>
              </w:rPr>
              <w:t>Гумки, фруктові желе та фруктові пасти у вигляді кондитерських виробів з цукру (крім жувальної гумки), 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474,7</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102,7</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12,7</w:t>
            </w:r>
          </w:p>
        </w:tc>
      </w:tr>
      <w:tr w:rsidR="00143BBA" w:rsidRPr="009B39B5" w:rsidTr="0037530C">
        <w:trPr>
          <w:trHeight w:val="20"/>
        </w:trPr>
        <w:tc>
          <w:tcPr>
            <w:tcW w:w="2273" w:type="pct"/>
          </w:tcPr>
          <w:p w:rsidR="00143BBA" w:rsidRPr="009B39B5" w:rsidRDefault="00143BBA">
            <w:pPr>
              <w:rPr>
                <w:sz w:val="22"/>
                <w:szCs w:val="22"/>
              </w:rPr>
            </w:pPr>
            <w:r w:rsidRPr="009B39B5">
              <w:rPr>
                <w:sz w:val="22"/>
                <w:szCs w:val="22"/>
              </w:rPr>
              <w:t>Карамелі, тофі (ірис) та солодощі аналогічні, 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389,4</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87,1</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-57,6</w:t>
            </w:r>
          </w:p>
        </w:tc>
      </w:tr>
      <w:tr w:rsidR="00143BBA" w:rsidRPr="009B39B5" w:rsidTr="0037530C">
        <w:trPr>
          <w:trHeight w:val="20"/>
        </w:trPr>
        <w:tc>
          <w:tcPr>
            <w:tcW w:w="2273" w:type="pct"/>
          </w:tcPr>
          <w:p w:rsidR="00143BBA" w:rsidRPr="009B39B5" w:rsidRDefault="00143BBA">
            <w:pPr>
              <w:spacing w:line="240" w:lineRule="exact"/>
              <w:rPr>
                <w:rFonts w:eastAsia="MS Mincho"/>
                <w:sz w:val="22"/>
                <w:szCs w:val="22"/>
                <w:lang w:val="uk-UA" w:eastAsia="ja-JP"/>
              </w:rPr>
            </w:pPr>
            <w:r w:rsidRPr="009B39B5">
              <w:rPr>
                <w:rFonts w:eastAsia="MS Mincho"/>
                <w:sz w:val="22"/>
                <w:szCs w:val="22"/>
                <w:lang w:val="uk-UA" w:eastAsia="ja-JP"/>
              </w:rPr>
              <w:t>Соуси і продукти для приготування соусів; приправи та прянощі змішані інші, (крім соєвого соусу, кетчупу і соусів томатних інших, борошна та порошку гірчичних, гірчиці готової), 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Продукти молоковмісні з добавками  (барвники, ароматизатори тощо), без     вмісту або із вмістом молочних жирів  менше 1,5 мас.%, 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spacing w:val="-2"/>
                <w:sz w:val="22"/>
                <w:szCs w:val="22"/>
                <w:lang w:val="uk-UA"/>
              </w:rPr>
              <w:t>Корми готові (крім преміксів) для годівлі сільськогосподарських тварин - для великої рогатої худоби, 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Води натуральні мінеральні негазовані, тис.дал</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spacing w:line="240" w:lineRule="exact"/>
              <w:rPr>
                <w:rFonts w:eastAsia="MS Mincho"/>
                <w:sz w:val="22"/>
                <w:szCs w:val="22"/>
                <w:lang w:val="uk-UA" w:eastAsia="ja-JP"/>
              </w:rPr>
            </w:pPr>
            <w:r w:rsidRPr="009B39B5">
              <w:rPr>
                <w:sz w:val="22"/>
                <w:szCs w:val="22"/>
                <w:lang w:val="uk-UA" w:eastAsia="en-US"/>
              </w:rPr>
              <w:t>Тканини з ниток синтетичних та штучних комплексних високої міцності, тканини з ниток стрічкових чи подібних (уключаючи нейлон, інші поліаміди, віскозний (штучний) шовк), тис.м</w:t>
            </w:r>
            <w:r w:rsidRPr="009B39B5">
              <w:rPr>
                <w:sz w:val="22"/>
                <w:szCs w:val="22"/>
                <w:vertAlign w:val="superscript"/>
                <w:lang w:val="uk-UA" w:eastAsia="en-US"/>
              </w:rPr>
              <w:t>2</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2810,7</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90,5</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-295,7</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Білизна постільна бавовняна (крім трикотажної машинного чи ручного в’язання), кг</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spacing w:line="240" w:lineRule="exact"/>
              <w:rPr>
                <w:rFonts w:eastAsia="MS Mincho"/>
                <w:sz w:val="22"/>
                <w:szCs w:val="22"/>
                <w:lang w:val="uk-UA" w:eastAsia="ja-JP"/>
              </w:rPr>
            </w:pPr>
            <w:r w:rsidRPr="009B39B5">
              <w:rPr>
                <w:sz w:val="22"/>
                <w:szCs w:val="22"/>
                <w:lang w:val="uk-UA" w:eastAsia="en-US"/>
              </w:rPr>
              <w:t>Матеріали неткані без покриття з поверхневою щільністю більше 150 г/м</w:t>
            </w:r>
            <w:r w:rsidRPr="009B39B5">
              <w:rPr>
                <w:sz w:val="22"/>
                <w:szCs w:val="22"/>
                <w:vertAlign w:val="superscript"/>
                <w:lang w:val="uk-UA" w:eastAsia="en-US"/>
              </w:rPr>
              <w:t>2</w:t>
            </w:r>
            <w:r w:rsidRPr="009B39B5">
              <w:rPr>
                <w:sz w:val="22"/>
                <w:szCs w:val="22"/>
                <w:lang w:val="uk-UA" w:eastAsia="en-US"/>
              </w:rPr>
              <w:t xml:space="preserve"> (уключаючи вироби з нетканих матеріалів; крім предметів одягу), 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spacing w:line="240" w:lineRule="exact"/>
              <w:rPr>
                <w:rFonts w:eastAsia="MS Mincho"/>
                <w:sz w:val="22"/>
                <w:szCs w:val="22"/>
                <w:lang w:val="uk-UA" w:eastAsia="ja-JP"/>
              </w:rPr>
            </w:pPr>
            <w:r w:rsidRPr="009B39B5">
              <w:rPr>
                <w:rFonts w:eastAsia="MS Mincho"/>
                <w:sz w:val="22"/>
                <w:szCs w:val="22"/>
                <w:lang w:val="uk-UA" w:eastAsia="ja-JP"/>
              </w:rPr>
              <w:t>Пальта, півпальта,  плащі, накидки тощо, чоловічі та хлопчачі, тис.шт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spacing w:line="240" w:lineRule="exact"/>
              <w:rPr>
                <w:rFonts w:eastAsia="MS Mincho"/>
                <w:sz w:val="22"/>
                <w:szCs w:val="22"/>
                <w:lang w:val="uk-UA" w:eastAsia="ja-JP"/>
              </w:rPr>
            </w:pPr>
            <w:r w:rsidRPr="009B39B5">
              <w:rPr>
                <w:rFonts w:eastAsia="MS Mincho"/>
                <w:sz w:val="22"/>
                <w:szCs w:val="22"/>
                <w:lang w:val="uk-UA" w:eastAsia="ja-JP"/>
              </w:rPr>
              <w:t>Жилети, анораки, лижні куртки, куртки вітрозахисні та подібні вироби (крім піджаків та блейзерів, трикотажних, просочених, з покриттям, ламінованих або гумованих), чоловічі та хлопчачі, тис.шт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3,5</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109,4</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0,3</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color w:val="000000"/>
                <w:sz w:val="22"/>
                <w:szCs w:val="22"/>
                <w:lang w:val="uk-UA" w:eastAsia="en-US"/>
              </w:rPr>
              <w:t>Пальта та плащі тощо, жіночі та дівчачі, тис.шт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6,7</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69,8</w:t>
            </w:r>
          </w:p>
        </w:tc>
        <w:tc>
          <w:tcPr>
            <w:tcW w:w="1018" w:type="pct"/>
            <w:tcBorders>
              <w:bottom w:val="nil"/>
              <w:right w:val="nil"/>
            </w:tcBorders>
            <w:noWrap/>
            <w:vAlign w:val="bottom"/>
          </w:tcPr>
          <w:p w:rsidR="00143BBA" w:rsidRPr="009B39B5" w:rsidRDefault="00143BBA">
            <w:pPr>
              <w:jc w:val="right"/>
              <w:rPr>
                <w:color w:val="000000"/>
                <w:sz w:val="22"/>
                <w:szCs w:val="22"/>
              </w:rPr>
            </w:pPr>
            <w:r w:rsidRPr="009B39B5">
              <w:rPr>
                <w:color w:val="000000"/>
                <w:sz w:val="22"/>
                <w:szCs w:val="22"/>
              </w:rPr>
              <w:t>-2,9</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sz w:val="22"/>
                <w:szCs w:val="22"/>
                <w:lang w:val="uk-UA" w:eastAsia="en-US"/>
              </w:rPr>
              <w:t>Жакети та блейзери (крім трикотажних), жіночі та дівчачі,  тис.шт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Сукні, крім трикотажних, жіночі та   дівчачі, тис.шт.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3,1</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34,8</w:t>
            </w:r>
          </w:p>
        </w:tc>
        <w:tc>
          <w:tcPr>
            <w:tcW w:w="1018" w:type="pct"/>
            <w:tcBorders>
              <w:top w:val="nil"/>
              <w:bottom w:val="nil"/>
              <w:right w:val="nil"/>
            </w:tcBorders>
            <w:noWrap/>
            <w:vAlign w:val="bottom"/>
          </w:tcPr>
          <w:p w:rsidR="00143BBA" w:rsidRPr="009B39B5" w:rsidRDefault="00143BBA">
            <w:pPr>
              <w:jc w:val="right"/>
              <w:rPr>
                <w:color w:val="000000"/>
                <w:sz w:val="22"/>
                <w:szCs w:val="22"/>
              </w:rPr>
            </w:pPr>
            <w:r w:rsidRPr="009B39B5">
              <w:rPr>
                <w:color w:val="000000"/>
                <w:sz w:val="22"/>
                <w:szCs w:val="22"/>
              </w:rPr>
              <w:t>-5,8</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Футболки, майки й подібні вироби, трикотажні машинного або ручного вʼязання, тис.шт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Панчішно-шкарпеткові вироби інші (уключаючи шкарпетки), тис. пар</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spacing w:line="240" w:lineRule="exact"/>
              <w:rPr>
                <w:rFonts w:eastAsia="MS Mincho"/>
                <w:sz w:val="22"/>
                <w:szCs w:val="22"/>
                <w:lang w:val="uk-UA" w:eastAsia="ja-JP"/>
              </w:rPr>
            </w:pPr>
            <w:r w:rsidRPr="009B39B5">
              <w:rPr>
                <w:rFonts w:eastAsia="MS Mincho"/>
                <w:sz w:val="22"/>
                <w:szCs w:val="22"/>
                <w:lang w:val="uk-UA" w:eastAsia="ja-JP"/>
              </w:rPr>
              <w:t>Взуття, призначене для носіння на вулиці, з верхом зі шкіри натуральної чоловіче (уключаючи чоботи, півчоботи та черевики; крім водонепроникного взуття та взуття із захисним металевим підноском), тис. пар</w:t>
            </w:r>
          </w:p>
        </w:tc>
        <w:tc>
          <w:tcPr>
            <w:tcW w:w="730" w:type="pct"/>
            <w:noWrap/>
            <w:vAlign w:val="bottom"/>
          </w:tcPr>
          <w:p w:rsidR="00143BBA" w:rsidRPr="009B39B5" w:rsidRDefault="00143BBA">
            <w:pPr>
              <w:jc w:val="right"/>
              <w:rPr>
                <w:color w:val="000000"/>
                <w:sz w:val="22"/>
                <w:szCs w:val="22"/>
                <w:lang w:val="uk-UA" w:eastAsia="uk-UA"/>
              </w:rPr>
            </w:pPr>
            <w:r w:rsidRPr="009B39B5">
              <w:rPr>
                <w:color w:val="000000"/>
                <w:sz w:val="22"/>
                <w:szCs w:val="22"/>
              </w:rPr>
              <w:t>0,6</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31,6</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-1,3</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spacing w:val="-2"/>
                <w:sz w:val="22"/>
                <w:szCs w:val="22"/>
                <w:lang w:val="uk-UA" w:eastAsia="en-US"/>
              </w:rPr>
              <w:t xml:space="preserve">Деревина із сосни уздовж розпиляна чи розколота, розділена на шари чи лущена, завтовшки більше </w:t>
            </w:r>
            <w:smartTag w:uri="urn:schemas-microsoft-com:office:smarttags" w:element="metricconverter">
              <w:smartTagPr>
                <w:attr w:name="ProductID" w:val="6 мм"/>
              </w:smartTagPr>
              <w:r w:rsidRPr="009B39B5">
                <w:rPr>
                  <w:spacing w:val="-2"/>
                  <w:sz w:val="22"/>
                  <w:szCs w:val="22"/>
                  <w:lang w:val="uk-UA" w:eastAsia="en-US"/>
                </w:rPr>
                <w:t>6 мм</w:t>
              </w:r>
            </w:smartTag>
            <w:r w:rsidRPr="009B39B5">
              <w:rPr>
                <w:spacing w:val="-2"/>
                <w:sz w:val="22"/>
                <w:szCs w:val="22"/>
                <w:lang w:val="uk-UA" w:eastAsia="en-US"/>
              </w:rPr>
              <w:t xml:space="preserve">, </w:t>
            </w:r>
            <w:r w:rsidRPr="009B39B5">
              <w:rPr>
                <w:rFonts w:eastAsia="MS Mincho"/>
                <w:sz w:val="22"/>
                <w:szCs w:val="22"/>
                <w:lang w:val="uk-UA" w:eastAsia="ja-JP"/>
              </w:rPr>
              <w:t>тис.м</w:t>
            </w:r>
            <w:r w:rsidRPr="009B39B5">
              <w:rPr>
                <w:rFonts w:eastAsia="MS Mincho"/>
                <w:sz w:val="22"/>
                <w:szCs w:val="22"/>
                <w:vertAlign w:val="superscript"/>
                <w:lang w:val="uk-UA" w:eastAsia="ja-JP"/>
              </w:rPr>
              <w:t>3</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0,4</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66,7</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-0,2</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Вікна, двері балконні та їх рами, з деревини, шт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Двері та їх коробки та пороги, з деревини, шт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453</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33,6</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-894</w:t>
            </w:r>
          </w:p>
        </w:tc>
      </w:tr>
      <w:tr w:rsidR="00143BBA" w:rsidRPr="009B39B5" w:rsidTr="0037530C">
        <w:trPr>
          <w:trHeight w:val="20"/>
        </w:trPr>
        <w:tc>
          <w:tcPr>
            <w:tcW w:w="2273" w:type="pct"/>
          </w:tcPr>
          <w:p w:rsidR="00143BBA" w:rsidRPr="009B39B5" w:rsidRDefault="00143BBA">
            <w:pPr>
              <w:ind w:right="-62"/>
              <w:rPr>
                <w:color w:val="000000"/>
                <w:sz w:val="22"/>
                <w:szCs w:val="22"/>
              </w:rPr>
            </w:pPr>
            <w:r w:rsidRPr="009B39B5">
              <w:rPr>
                <w:color w:val="000000"/>
                <w:sz w:val="22"/>
                <w:szCs w:val="22"/>
              </w:rPr>
              <w:t xml:space="preserve">Папір і картон гофровані, у рулонах або в аркушах, </w:t>
            </w:r>
            <w:r w:rsidRPr="009B39B5">
              <w:rPr>
                <w:sz w:val="22"/>
                <w:szCs w:val="22"/>
              </w:rPr>
              <w:t>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Коробки та ящики, з паперу або картону  гофрованих, 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952,7</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79,4</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-247,3</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Коробки та ящики, складані, з паперу  або картону негофрованих, 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510,8</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12,5</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-3566,2</w:t>
            </w:r>
          </w:p>
        </w:tc>
      </w:tr>
      <w:tr w:rsidR="00143BBA" w:rsidRPr="009B39B5" w:rsidTr="0037530C">
        <w:trPr>
          <w:trHeight w:val="20"/>
        </w:trPr>
        <w:tc>
          <w:tcPr>
            <w:tcW w:w="2273" w:type="pct"/>
          </w:tcPr>
          <w:p w:rsidR="00143BBA" w:rsidRPr="009B39B5" w:rsidRDefault="00143BBA">
            <w:pPr>
              <w:ind w:right="-74"/>
              <w:rPr>
                <w:sz w:val="22"/>
                <w:szCs w:val="22"/>
                <w:highlight w:val="lightGray"/>
                <w:lang w:val="uk-UA"/>
              </w:rPr>
            </w:pPr>
            <w:r w:rsidRPr="009B39B5">
              <w:rPr>
                <w:sz w:val="22"/>
                <w:szCs w:val="22"/>
                <w:lang w:val="uk-UA"/>
              </w:rPr>
              <w:t>Фарби та лаки на основ</w:t>
            </w:r>
            <w:r w:rsidRPr="009B39B5">
              <w:rPr>
                <w:sz w:val="22"/>
                <w:szCs w:val="22"/>
              </w:rPr>
              <w:t>i</w:t>
            </w:r>
            <w:r w:rsidRPr="009B39B5">
              <w:rPr>
                <w:sz w:val="22"/>
                <w:szCs w:val="22"/>
                <w:lang w:val="uk-UA"/>
              </w:rPr>
              <w:t xml:space="preserve"> пол</w:t>
            </w:r>
            <w:r w:rsidRPr="009B39B5">
              <w:rPr>
                <w:sz w:val="22"/>
                <w:szCs w:val="22"/>
              </w:rPr>
              <w:t>i</w:t>
            </w:r>
            <w:r w:rsidRPr="009B39B5">
              <w:rPr>
                <w:sz w:val="22"/>
                <w:szCs w:val="22"/>
                <w:lang w:val="uk-UA"/>
              </w:rPr>
              <w:t>акрилових чи в</w:t>
            </w:r>
            <w:r w:rsidRPr="009B39B5">
              <w:rPr>
                <w:sz w:val="22"/>
                <w:szCs w:val="22"/>
              </w:rPr>
              <w:t>i</w:t>
            </w:r>
            <w:r w:rsidRPr="009B39B5">
              <w:rPr>
                <w:sz w:val="22"/>
                <w:szCs w:val="22"/>
                <w:lang w:val="uk-UA"/>
              </w:rPr>
              <w:t>н</w:t>
            </w:r>
            <w:r w:rsidRPr="009B39B5">
              <w:rPr>
                <w:sz w:val="22"/>
                <w:szCs w:val="22"/>
              </w:rPr>
              <w:t>i</w:t>
            </w:r>
            <w:r w:rsidRPr="009B39B5">
              <w:rPr>
                <w:sz w:val="22"/>
                <w:szCs w:val="22"/>
                <w:lang w:val="uk-UA"/>
              </w:rPr>
              <w:t>лових пол</w:t>
            </w:r>
            <w:r w:rsidRPr="009B39B5">
              <w:rPr>
                <w:sz w:val="22"/>
                <w:szCs w:val="22"/>
              </w:rPr>
              <w:t>i</w:t>
            </w:r>
            <w:r w:rsidRPr="009B39B5">
              <w:rPr>
                <w:sz w:val="22"/>
                <w:szCs w:val="22"/>
                <w:lang w:val="uk-UA"/>
              </w:rPr>
              <w:t>мерів, дисперговані чи розчинені у водному середовищі (уключаючи емалі та політури), т</w:t>
            </w:r>
          </w:p>
        </w:tc>
        <w:tc>
          <w:tcPr>
            <w:tcW w:w="730" w:type="pct"/>
            <w:tcBorders>
              <w:top w:val="nil"/>
              <w:left w:val="nil"/>
              <w:bottom w:val="nil"/>
              <w:righ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4,2</w:t>
            </w:r>
          </w:p>
        </w:tc>
        <w:tc>
          <w:tcPr>
            <w:tcW w:w="979" w:type="pct"/>
            <w:tcBorders>
              <w:top w:val="nil"/>
              <w:left w:val="nil"/>
              <w:bottom w:val="nil"/>
              <w:right w:val="nil"/>
            </w:tcBorders>
            <w:noWrap/>
            <w:vAlign w:val="bottom"/>
          </w:tcPr>
          <w:p w:rsidR="00143BBA" w:rsidRPr="009B39B5" w:rsidRDefault="00143BBA">
            <w:pPr>
              <w:jc w:val="right"/>
              <w:rPr>
                <w:color w:val="000000"/>
                <w:sz w:val="22"/>
                <w:szCs w:val="22"/>
              </w:rPr>
            </w:pPr>
            <w:r w:rsidRPr="009B39B5">
              <w:rPr>
                <w:color w:val="000000"/>
                <w:sz w:val="22"/>
                <w:szCs w:val="22"/>
              </w:rPr>
              <w:t>70,0</w:t>
            </w:r>
          </w:p>
        </w:tc>
        <w:tc>
          <w:tcPr>
            <w:tcW w:w="1018" w:type="pct"/>
            <w:tcBorders>
              <w:top w:val="nil"/>
              <w:left w:val="nil"/>
              <w:bottom w:val="nil"/>
              <w:right w:val="nil"/>
            </w:tcBorders>
            <w:noWrap/>
            <w:vAlign w:val="bottom"/>
          </w:tcPr>
          <w:p w:rsidR="00143BBA" w:rsidRPr="009B39B5" w:rsidRDefault="00143BBA">
            <w:pPr>
              <w:jc w:val="right"/>
              <w:rPr>
                <w:color w:val="000000"/>
                <w:sz w:val="22"/>
                <w:szCs w:val="22"/>
              </w:rPr>
            </w:pPr>
            <w:r w:rsidRPr="009B39B5">
              <w:rPr>
                <w:color w:val="000000"/>
                <w:sz w:val="22"/>
                <w:szCs w:val="22"/>
              </w:rPr>
              <w:t>-1,8</w:t>
            </w:r>
          </w:p>
        </w:tc>
      </w:tr>
      <w:tr w:rsidR="00143BBA" w:rsidRPr="009B39B5" w:rsidTr="0037530C">
        <w:trPr>
          <w:trHeight w:val="20"/>
        </w:trPr>
        <w:tc>
          <w:tcPr>
            <w:tcW w:w="2273" w:type="pct"/>
          </w:tcPr>
          <w:p w:rsidR="00143BBA" w:rsidRPr="009B39B5" w:rsidRDefault="00143BBA">
            <w:pPr>
              <w:ind w:right="-74"/>
              <w:rPr>
                <w:sz w:val="22"/>
                <w:szCs w:val="22"/>
                <w:highlight w:val="lightGray"/>
                <w:lang w:val="uk-UA"/>
              </w:rPr>
            </w:pPr>
            <w:r w:rsidRPr="009B39B5">
              <w:rPr>
                <w:color w:val="000000"/>
                <w:sz w:val="22"/>
                <w:szCs w:val="22"/>
                <w:lang w:val="uk-UA"/>
              </w:rPr>
              <w:t>Фарби та лаки, включаючи емалі та політури, на основі складних поліефірів, дисперговані чи розчинені в летких органічних розчинниках (крім тих, які з вмістом розчинника більше 50% маси розчину), 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Мило та речовини поверхнево-активні органічні в брусках та подібних формах, н.в.і.у. (крім для туалетних цілей), 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spacing w:line="240" w:lineRule="exact"/>
              <w:rPr>
                <w:rFonts w:eastAsia="MS Mincho"/>
                <w:sz w:val="22"/>
                <w:szCs w:val="22"/>
                <w:lang w:val="uk-UA" w:eastAsia="ja-JP"/>
              </w:rPr>
            </w:pPr>
            <w:r w:rsidRPr="009B39B5">
              <w:rPr>
                <w:color w:val="000000"/>
                <w:sz w:val="22"/>
                <w:szCs w:val="22"/>
                <w:lang w:val="uk-UA" w:eastAsia="en-US"/>
              </w:rPr>
              <w:t>Засоби мийні та для чищення, які містять або не містять мило, включаючи допоміжні засоби, для миття, розфасовані для роздрібної торгівлі (крім тих, що їх використовують як мило та поверхнево-активні речовини), 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37,6</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14,7</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-218,4</w:t>
            </w:r>
          </w:p>
        </w:tc>
      </w:tr>
      <w:tr w:rsidR="00143BBA" w:rsidRPr="009B39B5" w:rsidTr="0037530C">
        <w:trPr>
          <w:trHeight w:val="20"/>
        </w:trPr>
        <w:tc>
          <w:tcPr>
            <w:tcW w:w="2273" w:type="pct"/>
          </w:tcPr>
          <w:p w:rsidR="00143BBA" w:rsidRPr="009B39B5" w:rsidRDefault="00143BBA">
            <w:pPr>
              <w:rPr>
                <w:color w:val="000000"/>
                <w:sz w:val="22"/>
                <w:szCs w:val="22"/>
                <w:lang w:val="uk-UA" w:eastAsia="en-US"/>
              </w:rPr>
            </w:pPr>
            <w:r w:rsidRPr="009B39B5">
              <w:rPr>
                <w:color w:val="000000"/>
                <w:sz w:val="22"/>
                <w:szCs w:val="22"/>
                <w:lang w:val="uk-UA" w:eastAsia="en-US"/>
              </w:rPr>
              <w:t>Вода туалетна, дал</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spacing w:line="240" w:lineRule="exact"/>
              <w:rPr>
                <w:color w:val="000000"/>
                <w:sz w:val="22"/>
                <w:szCs w:val="22"/>
                <w:lang w:val="uk-UA" w:eastAsia="en-US"/>
              </w:rPr>
            </w:pPr>
            <w:r w:rsidRPr="009B39B5">
              <w:rPr>
                <w:color w:val="000000"/>
                <w:sz w:val="22"/>
                <w:szCs w:val="22"/>
                <w:lang w:val="uk-UA" w:eastAsia="en-US"/>
              </w:rPr>
              <w:t>Засоби косметичні для макіяжу чи догляду за шкірою, у т.ч. засоби сонцезахисні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кг</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190350,9</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120,4</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32306,9</w:t>
            </w:r>
          </w:p>
        </w:tc>
      </w:tr>
      <w:tr w:rsidR="00143BBA" w:rsidRPr="009B39B5" w:rsidTr="0037530C">
        <w:trPr>
          <w:trHeight w:val="20"/>
        </w:trPr>
        <w:tc>
          <w:tcPr>
            <w:tcW w:w="2273" w:type="pct"/>
          </w:tcPr>
          <w:p w:rsidR="00143BBA" w:rsidRPr="009B39B5" w:rsidRDefault="00143BBA">
            <w:pPr>
              <w:spacing w:line="240" w:lineRule="exact"/>
              <w:rPr>
                <w:sz w:val="22"/>
                <w:szCs w:val="22"/>
              </w:rPr>
            </w:pPr>
            <w:r w:rsidRPr="009B39B5">
              <w:rPr>
                <w:sz w:val="22"/>
                <w:szCs w:val="22"/>
              </w:rPr>
              <w:t>Мило та речовини поверхнево-активнi органічні у вигляді брусків, брикетів, фігурних формованих виробів або у інших формах, для туалетних цілей, кг</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727240,6</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131,0</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172125,6</w:t>
            </w:r>
          </w:p>
        </w:tc>
      </w:tr>
      <w:tr w:rsidR="00143BBA" w:rsidRPr="009B39B5" w:rsidTr="0037530C">
        <w:trPr>
          <w:trHeight w:val="20"/>
        </w:trPr>
        <w:tc>
          <w:tcPr>
            <w:tcW w:w="2273" w:type="pct"/>
          </w:tcPr>
          <w:p w:rsidR="00143BBA" w:rsidRPr="009B39B5" w:rsidRDefault="00143BBA">
            <w:pPr>
              <w:spacing w:line="240" w:lineRule="exact"/>
              <w:rPr>
                <w:sz w:val="22"/>
                <w:szCs w:val="22"/>
                <w:lang w:val="uk-UA"/>
              </w:rPr>
            </w:pPr>
            <w:r w:rsidRPr="009B39B5">
              <w:rPr>
                <w:sz w:val="22"/>
                <w:szCs w:val="22"/>
                <w:lang w:val="uk-UA"/>
              </w:rPr>
              <w:t>Речовини поверхнево-активні органічні та засоби для миття шкіри, які містять або не містять мило, розфасовані для роздрібної торгівлі, кг</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49953,9</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76,0</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-15754,1</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Препарати лiкарськi, що мiстять iншi антибіотики, розфасовані для роздрiбного продажу, кг</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54354,5</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111,8</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5717,5</w:t>
            </w:r>
          </w:p>
        </w:tc>
      </w:tr>
      <w:tr w:rsidR="00143BBA" w:rsidRPr="009B39B5" w:rsidTr="0037530C">
        <w:trPr>
          <w:trHeight w:val="20"/>
        </w:trPr>
        <w:tc>
          <w:tcPr>
            <w:tcW w:w="2273" w:type="pct"/>
          </w:tcPr>
          <w:p w:rsidR="00143BBA" w:rsidRPr="009B39B5" w:rsidRDefault="00143BBA">
            <w:pPr>
              <w:spacing w:line="240" w:lineRule="exact"/>
              <w:rPr>
                <w:rFonts w:eastAsia="MS Mincho"/>
                <w:sz w:val="22"/>
                <w:szCs w:val="22"/>
                <w:lang w:val="uk-UA" w:eastAsia="ja-JP"/>
              </w:rPr>
            </w:pPr>
            <w:r w:rsidRPr="009B39B5">
              <w:rPr>
                <w:rFonts w:eastAsia="MS Mincho"/>
                <w:sz w:val="22"/>
                <w:szCs w:val="22"/>
                <w:lang w:val="uk-UA" w:eastAsia="ja-JP"/>
              </w:rPr>
              <w:t>Препарати лiкарськi, що мiстять кортикостероїдні гормони, їх похідні та структурні аналоги, і не містять антибіотики, для терапевтичного або профілактичного застосування, в дозованому вигляді чи розфасовані для роздрiбного продажу, кг</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3075,1</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114,4</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388,1</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noProof/>
                <w:sz w:val="22"/>
                <w:szCs w:val="22"/>
                <w:lang w:val="uk-UA" w:eastAsia="en-US"/>
              </w:rPr>
              <w:t>Препарати лiкарськi iншi, що мiстять змiшанi чи незмiшанi продукти, н.в.i.у., розфасовані для роздрiбного продажу, кг</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342139,2</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100,3</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994,2</w:t>
            </w:r>
          </w:p>
        </w:tc>
      </w:tr>
      <w:tr w:rsidR="00143BBA" w:rsidRPr="009B39B5" w:rsidTr="0037530C">
        <w:trPr>
          <w:trHeight w:val="20"/>
        </w:trPr>
        <w:tc>
          <w:tcPr>
            <w:tcW w:w="2273" w:type="pct"/>
          </w:tcPr>
          <w:p w:rsidR="00143BBA" w:rsidRPr="009B39B5" w:rsidRDefault="00143BBA">
            <w:pPr>
              <w:spacing w:line="240" w:lineRule="exact"/>
              <w:rPr>
                <w:rFonts w:eastAsia="MS Mincho"/>
                <w:sz w:val="22"/>
                <w:szCs w:val="22"/>
                <w:lang w:val="uk-UA" w:eastAsia="ja-JP"/>
              </w:rPr>
            </w:pPr>
            <w:r w:rsidRPr="009B39B5">
              <w:rPr>
                <w:rFonts w:eastAsia="MS Mincho"/>
                <w:sz w:val="22"/>
                <w:szCs w:val="22"/>
                <w:lang w:val="uk-UA" w:eastAsia="ja-JP"/>
              </w:rPr>
              <w:t xml:space="preserve">Плити, листи, плiвка, фольга i стрічки, з полімерів етилену, неармованi або не з’єднані з iншими матерiалами, завтовшки </w:t>
            </w:r>
            <w:smartTag w:uri="urn:schemas-microsoft-com:office:smarttags" w:element="metricconverter">
              <w:smartTagPr>
                <w:attr w:name="ProductID" w:val="0,125 мм"/>
              </w:smartTagPr>
              <w:r w:rsidRPr="009B39B5">
                <w:rPr>
                  <w:rFonts w:eastAsia="MS Mincho"/>
                  <w:sz w:val="22"/>
                  <w:szCs w:val="22"/>
                  <w:lang w:val="uk-UA" w:eastAsia="ja-JP"/>
                </w:rPr>
                <w:t>0,125 мм</w:t>
              </w:r>
            </w:smartTag>
            <w:r w:rsidRPr="009B39B5">
              <w:rPr>
                <w:rFonts w:eastAsia="MS Mincho"/>
                <w:sz w:val="22"/>
                <w:szCs w:val="22"/>
                <w:lang w:val="uk-UA" w:eastAsia="ja-JP"/>
              </w:rPr>
              <w:t xml:space="preserve"> і менше, 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1406,5</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105,3</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70,5</w:t>
            </w:r>
          </w:p>
        </w:tc>
      </w:tr>
      <w:tr w:rsidR="00143BBA" w:rsidRPr="009B39B5" w:rsidTr="0037530C">
        <w:trPr>
          <w:trHeight w:val="20"/>
        </w:trPr>
        <w:tc>
          <w:tcPr>
            <w:tcW w:w="2273" w:type="pct"/>
          </w:tcPr>
          <w:p w:rsidR="00143BBA" w:rsidRPr="009B39B5" w:rsidRDefault="00143BBA">
            <w:pPr>
              <w:spacing w:line="240" w:lineRule="exact"/>
              <w:rPr>
                <w:rFonts w:eastAsia="MS Mincho"/>
                <w:sz w:val="22"/>
                <w:szCs w:val="22"/>
                <w:lang w:val="uk-UA" w:eastAsia="ja-JP"/>
              </w:rPr>
            </w:pPr>
            <w:r w:rsidRPr="009B39B5">
              <w:rPr>
                <w:rFonts w:eastAsia="MS Mincho"/>
                <w:sz w:val="22"/>
                <w:szCs w:val="22"/>
                <w:lang w:val="uk-UA" w:eastAsia="ja-JP"/>
              </w:rPr>
              <w:t xml:space="preserve">Плити, листи, плiвка, фольга i стрічки, з полімерів етилену, неармованi або не з’єднані з iншими матерiалами, завтовшки більше </w:t>
            </w:r>
            <w:smartTag w:uri="urn:schemas-microsoft-com:office:smarttags" w:element="metricconverter">
              <w:smartTagPr>
                <w:attr w:name="ProductID" w:val="0,125 мм"/>
              </w:smartTagPr>
              <w:r w:rsidRPr="009B39B5">
                <w:rPr>
                  <w:rFonts w:eastAsia="MS Mincho"/>
                  <w:sz w:val="22"/>
                  <w:szCs w:val="22"/>
                  <w:lang w:val="uk-UA" w:eastAsia="ja-JP"/>
                </w:rPr>
                <w:t>0,125 мм</w:t>
              </w:r>
            </w:smartTag>
            <w:r w:rsidRPr="009B39B5">
              <w:rPr>
                <w:rFonts w:eastAsia="MS Mincho"/>
                <w:sz w:val="22"/>
                <w:szCs w:val="22"/>
                <w:lang w:val="uk-UA" w:eastAsia="ja-JP"/>
              </w:rPr>
              <w:t>, 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567,1</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88,9</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-70,9</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Плити, листи, плiвка, фольга i стрічки, з полімерів стиролу, неармованi або не з’єднані з iншими матеріалами, непоруваті, 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Мiшки та пакети (у  т.ч. конусоподiбнi), з полiмерiв етилену (не включаючи із    синтетичних текстильних матеріалів),  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1455,6</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99,0</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-14,4</w:t>
            </w:r>
          </w:p>
        </w:tc>
      </w:tr>
      <w:tr w:rsidR="00143BBA" w:rsidRPr="009B39B5" w:rsidTr="0037530C">
        <w:trPr>
          <w:trHeight w:val="20"/>
        </w:trPr>
        <w:tc>
          <w:tcPr>
            <w:tcW w:w="2273" w:type="pct"/>
          </w:tcPr>
          <w:p w:rsidR="00143BBA" w:rsidRPr="009B39B5" w:rsidRDefault="00143BBA">
            <w:pPr>
              <w:spacing w:line="240" w:lineRule="exact"/>
              <w:rPr>
                <w:rFonts w:eastAsia="MS Mincho"/>
                <w:sz w:val="22"/>
                <w:szCs w:val="22"/>
                <w:lang w:val="uk-UA" w:eastAsia="ja-JP"/>
              </w:rPr>
            </w:pPr>
            <w:r w:rsidRPr="009B39B5">
              <w:rPr>
                <w:rFonts w:eastAsia="MS Mincho"/>
                <w:sz w:val="22"/>
                <w:szCs w:val="22"/>
                <w:lang w:val="uk-UA" w:eastAsia="ja-JP"/>
              </w:rPr>
              <w:t>Мiшки та пакети (у т.ч. конусоподібні), з пластмас  інших (крім з полімерів етилену) (не  включаючи із синтетичних текстильних  матеріалів), 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316,8</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93,5</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-22,2</w:t>
            </w:r>
          </w:p>
        </w:tc>
      </w:tr>
      <w:tr w:rsidR="00143BBA" w:rsidRPr="009B39B5" w:rsidTr="0037530C">
        <w:trPr>
          <w:trHeight w:val="20"/>
        </w:trPr>
        <w:tc>
          <w:tcPr>
            <w:tcW w:w="2273" w:type="pct"/>
          </w:tcPr>
          <w:p w:rsidR="00143BBA" w:rsidRPr="009B39B5" w:rsidRDefault="00143BBA">
            <w:pPr>
              <w:spacing w:line="240" w:lineRule="exact"/>
              <w:rPr>
                <w:rFonts w:eastAsia="MS Mincho"/>
                <w:sz w:val="22"/>
                <w:szCs w:val="22"/>
                <w:lang w:val="uk-UA" w:eastAsia="ja-JP"/>
              </w:rPr>
            </w:pPr>
            <w:r w:rsidRPr="009B39B5">
              <w:rPr>
                <w:rFonts w:eastAsia="MS Mincho"/>
                <w:sz w:val="22"/>
                <w:szCs w:val="22"/>
                <w:lang w:val="uk-UA" w:eastAsia="ja-JP"/>
              </w:rPr>
              <w:t xml:space="preserve">Бутлi, пляшки, флакони, фляги та вироби подібні для транспортування або пакування продукції (стакани для сметани, йогурту тощо), мiсткiстю </w:t>
            </w:r>
            <w:smartTag w:uri="urn:schemas-microsoft-com:office:smarttags" w:element="metricconverter">
              <w:smartTagPr>
                <w:attr w:name="ProductID" w:val="2 л"/>
              </w:smartTagPr>
              <w:r w:rsidRPr="009B39B5">
                <w:rPr>
                  <w:rFonts w:eastAsia="MS Mincho"/>
                  <w:sz w:val="22"/>
                  <w:szCs w:val="22"/>
                  <w:lang w:val="uk-UA" w:eastAsia="ja-JP"/>
                </w:rPr>
                <w:t>2 л</w:t>
              </w:r>
            </w:smartTag>
            <w:r w:rsidRPr="009B39B5">
              <w:rPr>
                <w:rFonts w:eastAsia="MS Mincho"/>
                <w:sz w:val="22"/>
                <w:szCs w:val="22"/>
                <w:lang w:val="uk-UA" w:eastAsia="ja-JP"/>
              </w:rPr>
              <w:t xml:space="preserve"> і менше, з пластмас, тис.шт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56910,5</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113,8</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6902,3</w:t>
            </w:r>
          </w:p>
        </w:tc>
      </w:tr>
      <w:tr w:rsidR="00143BBA" w:rsidRPr="009B39B5" w:rsidTr="0037530C">
        <w:trPr>
          <w:trHeight w:val="20"/>
        </w:trPr>
        <w:tc>
          <w:tcPr>
            <w:tcW w:w="2273" w:type="pct"/>
          </w:tcPr>
          <w:p w:rsidR="00143BBA" w:rsidRPr="009B39B5" w:rsidRDefault="00143BBA">
            <w:pPr>
              <w:spacing w:line="240" w:lineRule="exact"/>
              <w:rPr>
                <w:rFonts w:eastAsia="MS Mincho"/>
                <w:sz w:val="22"/>
                <w:szCs w:val="22"/>
                <w:lang w:val="uk-UA" w:eastAsia="ja-JP"/>
              </w:rPr>
            </w:pPr>
            <w:r w:rsidRPr="009B39B5">
              <w:rPr>
                <w:rFonts w:eastAsia="MS Mincho"/>
                <w:sz w:val="22"/>
                <w:szCs w:val="22"/>
                <w:lang w:val="uk-UA" w:eastAsia="ja-JP"/>
              </w:rPr>
              <w:t>Вироби домашнього вжитку та вироби для туалетних кімнат, з пластмас (крім посуду столового та кухонного; ванн, душів та раковин, біде, унітазів, сидінь та кришок для унітазів, бачків змивних та виробів санітарно-технічних подібних), кг</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148471,5</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145,5</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46449,5</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Вироби багатошарові ізолюючі зі скла, тис.м²</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color w:val="000000"/>
                <w:sz w:val="22"/>
                <w:szCs w:val="22"/>
              </w:rPr>
              <w:t>Плитки та плити, керамічні, тис.м²</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Блоки та цегла з цементу, бетону або каменю штучного для будівництва, тис.т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37,2</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66,8</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-18,5</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sz w:val="22"/>
                <w:szCs w:val="22"/>
                <w:lang w:val="uk-UA" w:eastAsia="en-US"/>
              </w:rPr>
              <w:t>Елементи конструкцій збірні для будівництва з цементу, бетону або каменю штучного, тис.т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10,7</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78,1</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-3,0</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Розчини бетонні, готові для  використання, тис.т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97,1</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118,0</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14,8</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Суміші будівельні сухі (крім розчинів бетонних, готових для використання, тис.т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1,2</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92,3</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-0,1</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color w:val="000000"/>
                <w:sz w:val="22"/>
                <w:szCs w:val="22"/>
                <w:lang w:val="uk-UA" w:eastAsia="en-US"/>
              </w:rPr>
              <w:t>Зливки, форми первинні та напівфабрикати, інші, зі сталі нелегованої, 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4227</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86,2</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-674</w:t>
            </w:r>
          </w:p>
        </w:tc>
      </w:tr>
      <w:tr w:rsidR="00143BBA" w:rsidRPr="009B39B5" w:rsidTr="0037530C">
        <w:trPr>
          <w:trHeight w:val="20"/>
        </w:trPr>
        <w:tc>
          <w:tcPr>
            <w:tcW w:w="2273" w:type="pct"/>
          </w:tcPr>
          <w:p w:rsidR="00143BBA" w:rsidRPr="009B39B5" w:rsidRDefault="00143BBA">
            <w:pPr>
              <w:spacing w:line="240" w:lineRule="exact"/>
              <w:rPr>
                <w:rFonts w:eastAsia="MS Mincho"/>
                <w:sz w:val="22"/>
                <w:szCs w:val="22"/>
                <w:lang w:val="uk-UA" w:eastAsia="ja-JP"/>
              </w:rPr>
            </w:pPr>
            <w:r w:rsidRPr="009B39B5">
              <w:rPr>
                <w:rFonts w:eastAsia="MS Mincho"/>
                <w:sz w:val="22"/>
                <w:szCs w:val="22"/>
                <w:lang w:val="uk-UA" w:eastAsia="ja-JP"/>
              </w:rPr>
              <w:t xml:space="preserve">Труби і трубки, зварні, гарячого або холодного формування, прямокутного або квадратного поперечного перерізу, із зовнішнім діаметром не більше </w:t>
            </w:r>
            <w:smartTag w:uri="urn:schemas-microsoft-com:office:smarttags" w:element="metricconverter">
              <w:smartTagPr>
                <w:attr w:name="ProductID" w:val="406,4 мм"/>
              </w:smartTagPr>
              <w:r w:rsidRPr="009B39B5">
                <w:rPr>
                  <w:rFonts w:eastAsia="MS Mincho"/>
                  <w:sz w:val="22"/>
                  <w:szCs w:val="22"/>
                  <w:lang w:val="uk-UA" w:eastAsia="ja-JP"/>
                </w:rPr>
                <w:t>406,4 мм</w:t>
              </w:r>
            </w:smartTag>
            <w:r w:rsidRPr="009B39B5">
              <w:rPr>
                <w:rFonts w:eastAsia="MS Mincho"/>
                <w:sz w:val="22"/>
                <w:szCs w:val="22"/>
                <w:lang w:val="uk-UA" w:eastAsia="ja-JP"/>
              </w:rPr>
              <w:t xml:space="preserve">, з товщиною стінки не більше </w:t>
            </w:r>
            <w:smartTag w:uri="urn:schemas-microsoft-com:office:smarttags" w:element="metricconverter">
              <w:smartTagPr>
                <w:attr w:name="ProductID" w:val="2 мм"/>
              </w:smartTagPr>
              <w:r w:rsidRPr="009B39B5">
                <w:rPr>
                  <w:rFonts w:eastAsia="MS Mincho"/>
                  <w:sz w:val="22"/>
                  <w:szCs w:val="22"/>
                  <w:lang w:val="uk-UA" w:eastAsia="ja-JP"/>
                </w:rPr>
                <w:t>2 мм</w:t>
              </w:r>
            </w:smartTag>
            <w:r w:rsidRPr="009B39B5">
              <w:rPr>
                <w:rFonts w:eastAsia="MS Mincho"/>
                <w:sz w:val="22"/>
                <w:szCs w:val="22"/>
                <w:lang w:val="uk-UA" w:eastAsia="ja-JP"/>
              </w:rPr>
              <w:t>, зі сталі іншої, крім неіржавної, т</w:t>
            </w:r>
          </w:p>
        </w:tc>
        <w:tc>
          <w:tcPr>
            <w:tcW w:w="730" w:type="pct"/>
            <w:tcBorders>
              <w:top w:val="nil"/>
              <w:left w:val="nil"/>
              <w:bottom w:val="nil"/>
              <w:righ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3352,6</w:t>
            </w:r>
          </w:p>
        </w:tc>
        <w:tc>
          <w:tcPr>
            <w:tcW w:w="979" w:type="pct"/>
            <w:tcBorders>
              <w:top w:val="nil"/>
              <w:left w:val="nil"/>
              <w:bottom w:val="nil"/>
              <w:right w:val="nil"/>
            </w:tcBorders>
            <w:noWrap/>
            <w:vAlign w:val="bottom"/>
          </w:tcPr>
          <w:p w:rsidR="00143BBA" w:rsidRPr="009B39B5" w:rsidRDefault="00143BBA">
            <w:pPr>
              <w:jc w:val="right"/>
              <w:rPr>
                <w:color w:val="000000"/>
                <w:sz w:val="22"/>
                <w:szCs w:val="22"/>
              </w:rPr>
            </w:pPr>
            <w:r w:rsidRPr="009B39B5">
              <w:rPr>
                <w:color w:val="000000"/>
                <w:sz w:val="22"/>
                <w:szCs w:val="22"/>
              </w:rPr>
              <w:t>125,6</w:t>
            </w:r>
          </w:p>
        </w:tc>
        <w:tc>
          <w:tcPr>
            <w:tcW w:w="1018" w:type="pct"/>
            <w:tcBorders>
              <w:top w:val="nil"/>
              <w:left w:val="nil"/>
              <w:bottom w:val="nil"/>
              <w:right w:val="nil"/>
            </w:tcBorders>
            <w:noWrap/>
            <w:vAlign w:val="bottom"/>
          </w:tcPr>
          <w:p w:rsidR="00143BBA" w:rsidRPr="009B39B5" w:rsidRDefault="00143BBA">
            <w:pPr>
              <w:jc w:val="right"/>
              <w:rPr>
                <w:color w:val="000000"/>
                <w:sz w:val="22"/>
                <w:szCs w:val="22"/>
              </w:rPr>
            </w:pPr>
            <w:r w:rsidRPr="009B39B5">
              <w:rPr>
                <w:color w:val="000000"/>
                <w:sz w:val="22"/>
                <w:szCs w:val="22"/>
              </w:rPr>
              <w:t>683,6</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sz w:val="22"/>
                <w:szCs w:val="22"/>
                <w:lang w:val="uk-UA" w:eastAsia="en-US"/>
              </w:rPr>
              <w:t>Профілі холоднодеформовані, отримані з прокату плоского, зі сталі нелегованої, з цинковим покриттям,т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Конструкції збірні будівельні з чавуну чи сталі (житлові або промислові приміщення, школи,  магазини, навіси, гаражі або аналогічні будівлі), 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331,4</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46,2</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-385,6</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Устатковання для металевих риштовань, опалубок, підпірок або кріплень для шахт, у т.ч. шахтні каркаси і надземні конструкції; висувні балки облицювального кріплення, трубчасті будівельні риштовання та устатковання подібне, з металів чорних, 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Конструкції, виготовлені виключно або переважно з листового матеріалу, з металів чорних, інші, 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1513,9</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108,4</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117,9</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Водозливи, шлюзи, шлюзні ворота, дебаркадери, доки стаціонарні, конструкції для морських та водних споруд інші, з металів чорних; конструкції інші та їх частини, з металів чорних, н.в.і.у., 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1181,7</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107,6</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83,7</w:t>
            </w:r>
          </w:p>
        </w:tc>
      </w:tr>
      <w:tr w:rsidR="00143BBA" w:rsidRPr="009B39B5" w:rsidTr="0037530C">
        <w:trPr>
          <w:trHeight w:val="20"/>
        </w:trPr>
        <w:tc>
          <w:tcPr>
            <w:tcW w:w="2273" w:type="pct"/>
          </w:tcPr>
          <w:p w:rsidR="00143BBA" w:rsidRPr="009B39B5" w:rsidRDefault="00143BBA">
            <w:pPr>
              <w:spacing w:before="20" w:line="228" w:lineRule="auto"/>
              <w:ind w:right="-57"/>
              <w:rPr>
                <w:sz w:val="22"/>
                <w:szCs w:val="22"/>
                <w:highlight w:val="yellow"/>
              </w:rPr>
            </w:pPr>
            <w:r w:rsidRPr="009B39B5">
              <w:rPr>
                <w:sz w:val="22"/>
                <w:szCs w:val="22"/>
              </w:rPr>
              <w:t>Котли центрального опалення, шт</w:t>
            </w:r>
          </w:p>
        </w:tc>
        <w:tc>
          <w:tcPr>
            <w:tcW w:w="730" w:type="pct"/>
            <w:noWrap/>
            <w:vAlign w:val="center"/>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softHyphen/>
            </w:r>
          </w:p>
        </w:tc>
        <w:tc>
          <w:tcPr>
            <w:tcW w:w="979" w:type="pct"/>
            <w:noWrap/>
            <w:vAlign w:val="center"/>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softHyphen/>
            </w:r>
          </w:p>
        </w:tc>
        <w:tc>
          <w:tcPr>
            <w:tcW w:w="1018" w:type="pct"/>
            <w:noWrap/>
            <w:vAlign w:val="center"/>
          </w:tcPr>
          <w:p w:rsidR="00143BBA" w:rsidRPr="009B39B5" w:rsidRDefault="00143BBA">
            <w:pPr>
              <w:jc w:val="right"/>
              <w:rPr>
                <w:rFonts w:eastAsia="MS Mincho"/>
                <w:sz w:val="22"/>
                <w:szCs w:val="22"/>
                <w:lang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 xml:space="preserve">Резервуари, цистерни, баки та подібні ємності для твердих речовин, з металів  чорних, місткістю понад </w:t>
            </w:r>
            <w:smartTag w:uri="urn:schemas-microsoft-com:office:smarttags" w:element="metricconverter">
              <w:smartTagPr>
                <w:attr w:name="ProductID" w:val="300 л"/>
              </w:smartTagPr>
              <w:r w:rsidRPr="009B39B5">
                <w:rPr>
                  <w:rFonts w:eastAsia="MS Mincho"/>
                  <w:sz w:val="22"/>
                  <w:szCs w:val="22"/>
                  <w:lang w:val="uk-UA" w:eastAsia="ja-JP"/>
                </w:rPr>
                <w:t>300 л</w:t>
              </w:r>
            </w:smartTag>
            <w:r w:rsidRPr="009B39B5">
              <w:rPr>
                <w:rFonts w:eastAsia="MS Mincho"/>
                <w:sz w:val="22"/>
                <w:szCs w:val="22"/>
                <w:lang w:val="uk-UA" w:eastAsia="ja-JP"/>
              </w:rPr>
              <w:t xml:space="preserve"> (крім   оснащених механічним і тепловим обладнанням), 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129,5</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73,2</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-47,5</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Пристрої для приймання, перетворення та передачі або відновлення голосу, зображень та інформації іншої (уключаючи пристрої для комутації та маршрутизації), шт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585</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338,2</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412</w:t>
            </w:r>
          </w:p>
        </w:tc>
      </w:tr>
      <w:tr w:rsidR="00143BBA" w:rsidRPr="009B39B5" w:rsidTr="0037530C">
        <w:trPr>
          <w:trHeight w:val="20"/>
        </w:trPr>
        <w:tc>
          <w:tcPr>
            <w:tcW w:w="2273" w:type="pct"/>
          </w:tcPr>
          <w:p w:rsidR="00143BBA" w:rsidRPr="009B39B5" w:rsidRDefault="00143BBA">
            <w:pPr>
              <w:spacing w:before="40"/>
              <w:ind w:right="-57"/>
              <w:rPr>
                <w:sz w:val="22"/>
                <w:szCs w:val="22"/>
              </w:rPr>
            </w:pPr>
            <w:r w:rsidRPr="009B39B5">
              <w:rPr>
                <w:sz w:val="22"/>
                <w:szCs w:val="22"/>
              </w:rPr>
              <w:t>Прилади електричні сигналізаційні для захисту від крадіжки або пожежі та апаратура подібна для використання в будівлях, шт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97278</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161,2</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36937</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Лічильники електроенергії· (уключаючи  калібрувальні; крім вольтметрів, ампер- метрів, ватметрів тощо), шт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40754</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200,1</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20392</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І</w:t>
            </w:r>
            <w:r w:rsidRPr="009B39B5">
              <w:rPr>
                <w:rFonts w:eastAsia="MS Mincho"/>
                <w:sz w:val="22"/>
                <w:szCs w:val="22"/>
                <w:lang w:eastAsia="ja-JP"/>
              </w:rPr>
              <w:t>нструменти, приладита машини для вим</w:t>
            </w:r>
            <w:r w:rsidRPr="009B39B5">
              <w:rPr>
                <w:rFonts w:eastAsia="MS Mincho"/>
                <w:sz w:val="22"/>
                <w:szCs w:val="22"/>
                <w:lang w:val="uk-UA" w:eastAsia="ja-JP"/>
              </w:rPr>
              <w:t>і</w:t>
            </w:r>
            <w:r w:rsidRPr="009B39B5">
              <w:rPr>
                <w:rFonts w:eastAsia="MS Mincho"/>
                <w:sz w:val="22"/>
                <w:szCs w:val="22"/>
                <w:lang w:eastAsia="ja-JP"/>
              </w:rPr>
              <w:t>рювання чи контролю,н.в.</w:t>
            </w:r>
            <w:r w:rsidRPr="009B39B5">
              <w:rPr>
                <w:rFonts w:eastAsia="MS Mincho"/>
                <w:sz w:val="22"/>
                <w:szCs w:val="22"/>
                <w:lang w:val="uk-UA" w:eastAsia="ja-JP"/>
              </w:rPr>
              <w:t>і</w:t>
            </w:r>
            <w:r w:rsidRPr="009B39B5">
              <w:rPr>
                <w:rFonts w:eastAsia="MS Mincho"/>
                <w:sz w:val="22"/>
                <w:szCs w:val="22"/>
                <w:lang w:eastAsia="ja-JP"/>
              </w:rPr>
              <w:t>.у., шт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628</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80,4</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-153</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sz w:val="22"/>
                <w:szCs w:val="22"/>
              </w:rPr>
              <w:t>Інструменти й апаратура для автоматичного регулювання та керування, н.в.і.у., шт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12229</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114,8</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1579</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color w:val="000000"/>
                <w:sz w:val="22"/>
                <w:szCs w:val="22"/>
                <w:lang w:val="uk-UA" w:eastAsia="en-US"/>
              </w:rPr>
              <w:t>Трансформатори інші, потужністю не більше 1 кВ·А, шт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339</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753,3</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294</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sz w:val="22"/>
                <w:szCs w:val="22"/>
              </w:rPr>
              <w:t>Апаратура високовольтна та прилади комутаційні інші для кіл електричних на напругу більше 1 кВ, шт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119</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13,7</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-747</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color w:val="000000"/>
                <w:sz w:val="22"/>
                <w:szCs w:val="22"/>
                <w:lang w:val="uk-UA" w:eastAsia="en-US"/>
              </w:rPr>
              <w:t>Реле на напругу більше 60 В, але не більше 1 кВ, шт</w:t>
            </w:r>
          </w:p>
        </w:tc>
        <w:tc>
          <w:tcPr>
            <w:tcW w:w="730" w:type="pct"/>
            <w:noWrap/>
            <w:vAlign w:val="bottom"/>
          </w:tcPr>
          <w:p w:rsidR="00143BBA" w:rsidRPr="009B39B5" w:rsidRDefault="00143BBA">
            <w:pPr>
              <w:jc w:val="right"/>
              <w:rPr>
                <w:sz w:val="22"/>
                <w:szCs w:val="22"/>
              </w:rPr>
            </w:pPr>
            <w:r w:rsidRPr="009B39B5">
              <w:rPr>
                <w:sz w:val="22"/>
                <w:szCs w:val="22"/>
              </w:rPr>
              <w:t>30</w:t>
            </w:r>
          </w:p>
        </w:tc>
        <w:tc>
          <w:tcPr>
            <w:tcW w:w="979" w:type="pct"/>
            <w:noWrap/>
            <w:vAlign w:val="bottom"/>
          </w:tcPr>
          <w:p w:rsidR="00143BBA" w:rsidRPr="009B39B5" w:rsidRDefault="00143BBA">
            <w:pPr>
              <w:jc w:val="right"/>
              <w:rPr>
                <w:sz w:val="22"/>
                <w:szCs w:val="22"/>
              </w:rPr>
            </w:pPr>
            <w:r w:rsidRPr="009B39B5">
              <w:rPr>
                <w:sz w:val="22"/>
                <w:szCs w:val="22"/>
              </w:rPr>
              <w:t>39,5</w:t>
            </w:r>
          </w:p>
        </w:tc>
        <w:tc>
          <w:tcPr>
            <w:tcW w:w="1018" w:type="pct"/>
            <w:noWrap/>
            <w:vAlign w:val="bottom"/>
          </w:tcPr>
          <w:p w:rsidR="00143BBA" w:rsidRPr="009B39B5" w:rsidRDefault="00143BBA">
            <w:pPr>
              <w:jc w:val="right"/>
              <w:rPr>
                <w:sz w:val="22"/>
                <w:szCs w:val="22"/>
              </w:rPr>
            </w:pPr>
            <w:r w:rsidRPr="009B39B5">
              <w:rPr>
                <w:sz w:val="22"/>
                <w:szCs w:val="22"/>
              </w:rPr>
              <w:t>-46</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sz w:val="22"/>
                <w:szCs w:val="22"/>
                <w:lang w:val="uk-UA" w:eastAsia="en-US"/>
              </w:rPr>
              <w:t>Основи апаратури електричної для контролю та розподілення електроенергії інші, на напругу не більше 1кВ, шт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860</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52,4</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-782</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Щити, шафи і комбінації подібні апаратури електричної для контролю або розподілу струму електричного на напругу більше 1кВ, але не більше 72,5 кВ, шт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40</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200,0</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20</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Табло, панелі, консолі, підставки, шафи та інші основи для апаратури для контролю та розподілення електроенергії (крім апаратури, обладнаної відповідним устаткованням), шт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22525</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126,7</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4752</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Провідники електричні інші на напругу не більше 1кВ, не оснащені з'єднувальними елементами, кг</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1459036,4</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123,0</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272624,4</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Вилки та розетки штепсельні на напругу не більше 1кВ (крім для кабелів коаксіальних та схем друкованих), тис.шт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120,3</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78,4</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-33,1</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iCs/>
                <w:sz w:val="22"/>
                <w:szCs w:val="22"/>
                <w:lang w:val="uk-UA" w:eastAsia="ja-JP"/>
              </w:rPr>
              <w:t>Насоси відцентрові занурені, багатоступінчасті, шт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Трактори з потужністю двигуна більше 59 кВт (крім тракторів, керованих водієм, який іде поруч, тракторів-тягачів колісних для напівпричепів, тракторів гусеничних), шт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76</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158,3</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28</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Розпушувачі та  культиватори,  шт.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Судна прогулянкові  та спортивні,       надувні,  шт.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Меблі для сидіння жорсткі з металевим каркасом (крім обертових, медичних, хірургічних, стоматологічних або ветеринарних, перукарських тощо), шт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73113</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114,9</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9466</w:t>
            </w:r>
          </w:p>
        </w:tc>
      </w:tr>
      <w:tr w:rsidR="00143BBA" w:rsidRPr="009B39B5" w:rsidTr="0037530C">
        <w:trPr>
          <w:trHeight w:val="20"/>
        </w:trPr>
        <w:tc>
          <w:tcPr>
            <w:tcW w:w="2273" w:type="pct"/>
          </w:tcPr>
          <w:p w:rsidR="00143BBA" w:rsidRPr="009B39B5" w:rsidRDefault="00143BBA">
            <w:pPr>
              <w:rPr>
                <w:rFonts w:eastAsia="MS Mincho"/>
                <w:b/>
                <w:sz w:val="22"/>
                <w:szCs w:val="22"/>
                <w:highlight w:val="yellow"/>
                <w:lang w:val="uk-UA" w:eastAsia="ja-JP"/>
              </w:rPr>
            </w:pPr>
            <w:r w:rsidRPr="009B39B5">
              <w:rPr>
                <w:sz w:val="22"/>
                <w:szCs w:val="22"/>
                <w:lang w:val="uk-UA" w:eastAsia="en-US"/>
              </w:rPr>
              <w:t>Меблі для сидіння м'які з дерев’яним каркасом  (уключаючи гарнітури меблеві з дивану та двох крісел; крім обертових), шт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b/>
                <w:sz w:val="22"/>
                <w:szCs w:val="22"/>
                <w:lang w:val="uk-UA" w:eastAsia="ja-JP"/>
              </w:rPr>
            </w:pPr>
            <w:r w:rsidRPr="009B39B5">
              <w:rPr>
                <w:sz w:val="22"/>
                <w:szCs w:val="22"/>
                <w:lang w:val="uk-UA" w:eastAsia="en-US"/>
              </w:rPr>
              <w:t>Меблі для офісів дерев'яні, шт</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19008</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130,8</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4473</w:t>
            </w:r>
          </w:p>
        </w:tc>
      </w:tr>
      <w:tr w:rsidR="00143BBA" w:rsidRPr="009B39B5" w:rsidTr="0037530C">
        <w:trPr>
          <w:trHeight w:val="20"/>
        </w:trPr>
        <w:tc>
          <w:tcPr>
            <w:tcW w:w="2273" w:type="pct"/>
          </w:tcPr>
          <w:p w:rsidR="00143BBA" w:rsidRPr="009B39B5" w:rsidRDefault="00143BBA">
            <w:pPr>
              <w:rPr>
                <w:rFonts w:eastAsia="MS Mincho"/>
                <w:b/>
                <w:sz w:val="22"/>
                <w:szCs w:val="22"/>
                <w:lang w:val="uk-UA" w:eastAsia="ja-JP"/>
              </w:rPr>
            </w:pPr>
            <w:r w:rsidRPr="009B39B5">
              <w:rPr>
                <w:sz w:val="22"/>
                <w:szCs w:val="22"/>
                <w:lang w:val="uk-UA" w:eastAsia="en-US"/>
              </w:rPr>
              <w:t>Меблі кухонні, шт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sz w:val="22"/>
                <w:szCs w:val="22"/>
                <w:lang w:val="uk-UA" w:eastAsia="en-US"/>
              </w:rPr>
            </w:pPr>
            <w:r w:rsidRPr="009B39B5">
              <w:rPr>
                <w:sz w:val="22"/>
                <w:szCs w:val="22"/>
                <w:lang w:val="uk-UA" w:eastAsia="en-US"/>
              </w:rPr>
              <w:t>Меблі металеві (крім меблів офісних, медичних, хірургічних,стоматологічних або ветеринарних, перукарських та спеціальних для монтування hi - fi аудіо-,  відео-, та телевізіўйних систем), кг</w:t>
            </w:r>
          </w:p>
        </w:tc>
        <w:tc>
          <w:tcPr>
            <w:tcW w:w="730" w:type="pct"/>
            <w:tcBorders>
              <w:left w:val="nil"/>
            </w:tcBorders>
            <w:noWrap/>
            <w:vAlign w:val="bottom"/>
          </w:tcPr>
          <w:p w:rsidR="00143BBA" w:rsidRPr="009B39B5" w:rsidRDefault="00143BBA">
            <w:pPr>
              <w:jc w:val="right"/>
              <w:rPr>
                <w:color w:val="000000"/>
                <w:sz w:val="22"/>
                <w:szCs w:val="22"/>
                <w:lang w:val="uk-UA" w:eastAsia="uk-UA"/>
              </w:rPr>
            </w:pPr>
            <w:r w:rsidRPr="009B39B5">
              <w:rPr>
                <w:color w:val="000000"/>
                <w:sz w:val="22"/>
                <w:szCs w:val="22"/>
              </w:rPr>
              <w:t>355530,4</w:t>
            </w:r>
          </w:p>
        </w:tc>
        <w:tc>
          <w:tcPr>
            <w:tcW w:w="979" w:type="pct"/>
            <w:noWrap/>
            <w:vAlign w:val="bottom"/>
          </w:tcPr>
          <w:p w:rsidR="00143BBA" w:rsidRPr="009B39B5" w:rsidRDefault="00143BBA">
            <w:pPr>
              <w:jc w:val="right"/>
              <w:rPr>
                <w:color w:val="000000"/>
                <w:sz w:val="22"/>
                <w:szCs w:val="22"/>
              </w:rPr>
            </w:pPr>
            <w:r w:rsidRPr="009B39B5">
              <w:rPr>
                <w:color w:val="000000"/>
                <w:sz w:val="22"/>
                <w:szCs w:val="22"/>
              </w:rPr>
              <w:t>109,4</w:t>
            </w:r>
          </w:p>
        </w:tc>
        <w:tc>
          <w:tcPr>
            <w:tcW w:w="1018" w:type="pct"/>
            <w:noWrap/>
            <w:vAlign w:val="bottom"/>
          </w:tcPr>
          <w:p w:rsidR="00143BBA" w:rsidRPr="009B39B5" w:rsidRDefault="00143BBA">
            <w:pPr>
              <w:jc w:val="right"/>
              <w:rPr>
                <w:color w:val="000000"/>
                <w:sz w:val="22"/>
                <w:szCs w:val="22"/>
              </w:rPr>
            </w:pPr>
            <w:r w:rsidRPr="009B39B5">
              <w:rPr>
                <w:color w:val="000000"/>
                <w:sz w:val="22"/>
                <w:szCs w:val="22"/>
              </w:rPr>
              <w:t>30428,4</w:t>
            </w:r>
          </w:p>
        </w:tc>
      </w:tr>
      <w:tr w:rsidR="00143BBA" w:rsidRPr="009B39B5" w:rsidTr="0037530C">
        <w:trPr>
          <w:trHeight w:val="20"/>
        </w:trPr>
        <w:tc>
          <w:tcPr>
            <w:tcW w:w="2273" w:type="pct"/>
          </w:tcPr>
          <w:p w:rsidR="00143BBA" w:rsidRPr="009B39B5" w:rsidRDefault="00143BBA">
            <w:pPr>
              <w:rPr>
                <w:rFonts w:eastAsia="MS Mincho"/>
                <w:b/>
                <w:sz w:val="22"/>
                <w:szCs w:val="22"/>
                <w:lang w:val="uk-UA" w:eastAsia="ja-JP"/>
              </w:rPr>
            </w:pPr>
            <w:r w:rsidRPr="009B39B5">
              <w:rPr>
                <w:sz w:val="22"/>
                <w:szCs w:val="22"/>
                <w:lang w:val="uk-UA" w:eastAsia="en-US"/>
              </w:rPr>
              <w:t>Меблі для їдалень та віталень дерев’яні (крім дзеркал, призначених для встановлення на підлозі, сидінь), шт</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Електроенергія, млн.кВт.год</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r w:rsidR="00143BBA" w:rsidRPr="009B39B5" w:rsidTr="0037530C">
        <w:trPr>
          <w:trHeight w:val="20"/>
        </w:trPr>
        <w:tc>
          <w:tcPr>
            <w:tcW w:w="2273" w:type="pct"/>
          </w:tcPr>
          <w:p w:rsidR="00143BBA" w:rsidRPr="009B39B5" w:rsidRDefault="00143BBA">
            <w:pPr>
              <w:rPr>
                <w:rFonts w:eastAsia="MS Mincho"/>
                <w:sz w:val="22"/>
                <w:szCs w:val="22"/>
                <w:lang w:val="uk-UA" w:eastAsia="ja-JP"/>
              </w:rPr>
            </w:pPr>
            <w:r w:rsidRPr="009B39B5">
              <w:rPr>
                <w:rFonts w:eastAsia="MS Mincho"/>
                <w:sz w:val="22"/>
                <w:szCs w:val="22"/>
                <w:lang w:val="uk-UA" w:eastAsia="ja-JP"/>
              </w:rPr>
              <w:t>у т.ч. вироблена тепловими   електростанціями (ТЕЦ, ТЕС), млн.кВт.год</w:t>
            </w:r>
          </w:p>
        </w:tc>
        <w:tc>
          <w:tcPr>
            <w:tcW w:w="730"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979"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c>
          <w:tcPr>
            <w:tcW w:w="1018" w:type="pct"/>
            <w:noWrap/>
            <w:vAlign w:val="bottom"/>
          </w:tcPr>
          <w:p w:rsidR="00143BBA" w:rsidRPr="009B39B5" w:rsidRDefault="00143BBA">
            <w:pPr>
              <w:jc w:val="right"/>
              <w:rPr>
                <w:rFonts w:eastAsia="MS Mincho"/>
                <w:sz w:val="22"/>
                <w:szCs w:val="22"/>
                <w:lang w:val="uk-UA" w:eastAsia="ja-JP"/>
              </w:rPr>
            </w:pPr>
            <w:r w:rsidRPr="009B39B5">
              <w:rPr>
                <w:rFonts w:eastAsia="MS Mincho"/>
                <w:sz w:val="22"/>
                <w:szCs w:val="22"/>
                <w:lang w:val="uk-UA" w:eastAsia="ja-JP"/>
              </w:rPr>
              <w:t>к</w:t>
            </w:r>
          </w:p>
        </w:tc>
      </w:tr>
    </w:tbl>
    <w:p w:rsidR="00143BBA" w:rsidRPr="009B39B5" w:rsidRDefault="00143BBA" w:rsidP="0037530C">
      <w:pPr>
        <w:pStyle w:val="8"/>
        <w:ind w:left="7788"/>
        <w:jc w:val="center"/>
        <w:rPr>
          <w:snapToGrid w:val="0"/>
          <w:sz w:val="22"/>
          <w:szCs w:val="22"/>
          <w:lang w:val="uk-UA"/>
        </w:rPr>
      </w:pPr>
    </w:p>
    <w:p w:rsidR="00143BBA" w:rsidRPr="009B39B5" w:rsidRDefault="00143BBA" w:rsidP="0037530C">
      <w:pPr>
        <w:tabs>
          <w:tab w:val="left" w:pos="1620"/>
        </w:tabs>
        <w:rPr>
          <w:rFonts w:eastAsia="MS Mincho"/>
          <w:sz w:val="22"/>
          <w:szCs w:val="22"/>
          <w:lang w:val="uk-UA" w:eastAsia="ja-JP"/>
        </w:rPr>
      </w:pPr>
      <w:r w:rsidRPr="009B39B5">
        <w:rPr>
          <w:rFonts w:eastAsia="MS Mincho"/>
          <w:sz w:val="22"/>
          <w:szCs w:val="22"/>
          <w:lang w:val="uk-UA" w:eastAsia="ja-JP"/>
        </w:rPr>
        <w:t xml:space="preserve">к- дані вилучено з метою забезпечення виконання вимог Закону України "Про державну статистику" щодо конфіденційності інформації. </w:t>
      </w:r>
    </w:p>
    <w:p w:rsidR="00143BBA" w:rsidRDefault="00143BBA" w:rsidP="0037530C">
      <w:pPr>
        <w:jc w:val="both"/>
        <w:rPr>
          <w:sz w:val="24"/>
          <w:szCs w:val="24"/>
          <w:lang w:val="uk-UA"/>
        </w:rPr>
      </w:pPr>
    </w:p>
    <w:p w:rsidR="00143BBA" w:rsidRDefault="00143BBA" w:rsidP="008D7D94">
      <w:pPr>
        <w:pStyle w:val="8"/>
        <w:tabs>
          <w:tab w:val="left" w:pos="709"/>
        </w:tabs>
        <w:ind w:left="7788"/>
        <w:jc w:val="center"/>
        <w:rPr>
          <w:snapToGrid w:val="0"/>
          <w:sz w:val="22"/>
          <w:szCs w:val="22"/>
          <w:lang w:val="uk-UA"/>
        </w:rPr>
      </w:pPr>
    </w:p>
    <w:p w:rsidR="00143BBA" w:rsidRDefault="00143BBA" w:rsidP="008D7D94">
      <w:pPr>
        <w:pStyle w:val="8"/>
        <w:tabs>
          <w:tab w:val="left" w:pos="709"/>
        </w:tabs>
        <w:ind w:left="7788"/>
        <w:jc w:val="center"/>
        <w:rPr>
          <w:snapToGrid w:val="0"/>
          <w:sz w:val="22"/>
          <w:szCs w:val="22"/>
          <w:lang w:val="uk-UA"/>
        </w:rPr>
      </w:pPr>
    </w:p>
    <w:p w:rsidR="00143BBA" w:rsidRPr="008D7D94" w:rsidRDefault="00143BBA">
      <w:pPr>
        <w:rPr>
          <w:lang w:val="uk-UA"/>
        </w:rPr>
      </w:pPr>
    </w:p>
    <w:sectPr w:rsidR="00143BBA" w:rsidRPr="008D7D94" w:rsidSect="009B39B5">
      <w:headerReference w:type="default" r:id="rId7"/>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BBA" w:rsidRDefault="00143BBA" w:rsidP="00896612">
      <w:r>
        <w:separator/>
      </w:r>
    </w:p>
  </w:endnote>
  <w:endnote w:type="continuationSeparator" w:id="1">
    <w:p w:rsidR="00143BBA" w:rsidRDefault="00143BBA" w:rsidP="00896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Roboto Ligh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BBA" w:rsidRDefault="00143BBA" w:rsidP="00896612">
      <w:r>
        <w:separator/>
      </w:r>
    </w:p>
  </w:footnote>
  <w:footnote w:type="continuationSeparator" w:id="1">
    <w:p w:rsidR="00143BBA" w:rsidRDefault="00143BBA" w:rsidP="00896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BA" w:rsidRDefault="00143BBA">
    <w:pPr>
      <w:pStyle w:val="Header"/>
      <w:jc w:val="center"/>
    </w:pPr>
    <w:fldSimple w:instr=" PAGE   \* MERGEFORMAT ">
      <w:r>
        <w:rPr>
          <w:noProof/>
        </w:rPr>
        <w:t>1</w:t>
      </w:r>
    </w:fldSimple>
  </w:p>
  <w:p w:rsidR="00143BBA" w:rsidRDefault="00143B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217E"/>
    <w:multiLevelType w:val="hybridMultilevel"/>
    <w:tmpl w:val="8320FA50"/>
    <w:lvl w:ilvl="0" w:tplc="17100B86">
      <w:numFmt w:val="bullet"/>
      <w:lvlText w:val="-"/>
      <w:lvlJc w:val="left"/>
      <w:pPr>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A26007A"/>
    <w:multiLevelType w:val="hybridMultilevel"/>
    <w:tmpl w:val="F91C6E40"/>
    <w:lvl w:ilvl="0" w:tplc="AB3E0360">
      <w:start w:val="1"/>
      <w:numFmt w:val="bullet"/>
      <w:lvlText w:val="–"/>
      <w:lvlJc w:val="left"/>
      <w:pPr>
        <w:tabs>
          <w:tab w:val="num" w:pos="360"/>
        </w:tabs>
        <w:ind w:left="36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CEB40DC"/>
    <w:multiLevelType w:val="hybridMultilevel"/>
    <w:tmpl w:val="F29AAC24"/>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D3F65BC"/>
    <w:multiLevelType w:val="hybridMultilevel"/>
    <w:tmpl w:val="4C56165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D68718C"/>
    <w:multiLevelType w:val="hybridMultilevel"/>
    <w:tmpl w:val="91725440"/>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E4E3D15"/>
    <w:multiLevelType w:val="singleLevel"/>
    <w:tmpl w:val="88E2A81E"/>
    <w:lvl w:ilvl="0">
      <w:start w:val="1"/>
      <w:numFmt w:val="bullet"/>
      <w:lvlText w:val="-"/>
      <w:lvlJc w:val="left"/>
      <w:pPr>
        <w:tabs>
          <w:tab w:val="num" w:pos="786"/>
        </w:tabs>
        <w:ind w:left="786" w:hanging="360"/>
      </w:pPr>
      <w:rPr>
        <w:rFonts w:hint="default"/>
        <w:b/>
      </w:rPr>
    </w:lvl>
  </w:abstractNum>
  <w:abstractNum w:abstractNumId="6">
    <w:nsid w:val="2BF63AD7"/>
    <w:multiLevelType w:val="hybridMultilevel"/>
    <w:tmpl w:val="281AF196"/>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2C920CFA"/>
    <w:multiLevelType w:val="hybridMultilevel"/>
    <w:tmpl w:val="18AE1232"/>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DEC75DD"/>
    <w:multiLevelType w:val="hybridMultilevel"/>
    <w:tmpl w:val="DE620D82"/>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270360F"/>
    <w:multiLevelType w:val="hybridMultilevel"/>
    <w:tmpl w:val="201C218C"/>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34735972"/>
    <w:multiLevelType w:val="hybridMultilevel"/>
    <w:tmpl w:val="5848250E"/>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36B75BBA"/>
    <w:multiLevelType w:val="hybridMultilevel"/>
    <w:tmpl w:val="2862AFD2"/>
    <w:lvl w:ilvl="0" w:tplc="9062A826">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7270D35"/>
    <w:multiLevelType w:val="hybridMultilevel"/>
    <w:tmpl w:val="AC3E5F3A"/>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8F25489"/>
    <w:multiLevelType w:val="hybridMultilevel"/>
    <w:tmpl w:val="892AAF04"/>
    <w:lvl w:ilvl="0" w:tplc="AB3E0360">
      <w:start w:val="1"/>
      <w:numFmt w:val="bullet"/>
      <w:lvlText w:val="–"/>
      <w:lvlJc w:val="left"/>
      <w:pPr>
        <w:tabs>
          <w:tab w:val="num" w:pos="1605"/>
        </w:tabs>
        <w:ind w:left="1605"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C1A0109"/>
    <w:multiLevelType w:val="hybridMultilevel"/>
    <w:tmpl w:val="EB3CF050"/>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nsid w:val="3F4B64DE"/>
    <w:multiLevelType w:val="hybridMultilevel"/>
    <w:tmpl w:val="CD282320"/>
    <w:lvl w:ilvl="0" w:tplc="1C3A4CB4">
      <w:numFmt w:val="bullet"/>
      <w:lvlText w:val="-"/>
      <w:lvlJc w:val="left"/>
      <w:pPr>
        <w:ind w:left="1004"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6">
    <w:nsid w:val="435268E0"/>
    <w:multiLevelType w:val="hybridMultilevel"/>
    <w:tmpl w:val="3ED62BB2"/>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47F95484"/>
    <w:multiLevelType w:val="hybridMultilevel"/>
    <w:tmpl w:val="2BAA94A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51B146A4"/>
    <w:multiLevelType w:val="hybridMultilevel"/>
    <w:tmpl w:val="D12AB5A2"/>
    <w:lvl w:ilvl="0" w:tplc="049423A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0">
    <w:nsid w:val="63A6180E"/>
    <w:multiLevelType w:val="hybridMultilevel"/>
    <w:tmpl w:val="DEB0C37C"/>
    <w:lvl w:ilvl="0" w:tplc="59C8A2BE">
      <w:numFmt w:val="bullet"/>
      <w:lvlText w:val=""/>
      <w:lvlJc w:val="left"/>
      <w:pPr>
        <w:ind w:left="643"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7D243399"/>
    <w:multiLevelType w:val="hybridMultilevel"/>
    <w:tmpl w:val="3F6A0FF4"/>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7D94"/>
    <w:rsid w:val="00005AB2"/>
    <w:rsid w:val="0002782C"/>
    <w:rsid w:val="000354C9"/>
    <w:rsid w:val="0008109F"/>
    <w:rsid w:val="00084ED4"/>
    <w:rsid w:val="00085090"/>
    <w:rsid w:val="000A379C"/>
    <w:rsid w:val="00100968"/>
    <w:rsid w:val="0010703B"/>
    <w:rsid w:val="0011793E"/>
    <w:rsid w:val="00143BBA"/>
    <w:rsid w:val="001466E3"/>
    <w:rsid w:val="00155713"/>
    <w:rsid w:val="001704C2"/>
    <w:rsid w:val="00190643"/>
    <w:rsid w:val="0019248D"/>
    <w:rsid w:val="001C1053"/>
    <w:rsid w:val="001C2626"/>
    <w:rsid w:val="001C33B8"/>
    <w:rsid w:val="00204F5B"/>
    <w:rsid w:val="00207A29"/>
    <w:rsid w:val="00212AFF"/>
    <w:rsid w:val="00214C30"/>
    <w:rsid w:val="00217359"/>
    <w:rsid w:val="002461D7"/>
    <w:rsid w:val="002560F2"/>
    <w:rsid w:val="00262910"/>
    <w:rsid w:val="00263109"/>
    <w:rsid w:val="00280FC1"/>
    <w:rsid w:val="002827E1"/>
    <w:rsid w:val="00287FF6"/>
    <w:rsid w:val="00295CFF"/>
    <w:rsid w:val="002A0BB4"/>
    <w:rsid w:val="002B3461"/>
    <w:rsid w:val="002B354A"/>
    <w:rsid w:val="002D7934"/>
    <w:rsid w:val="002E18D5"/>
    <w:rsid w:val="0033541E"/>
    <w:rsid w:val="00356F5C"/>
    <w:rsid w:val="0036102C"/>
    <w:rsid w:val="0037530C"/>
    <w:rsid w:val="0038176D"/>
    <w:rsid w:val="00390A93"/>
    <w:rsid w:val="003A28C4"/>
    <w:rsid w:val="003A6F0F"/>
    <w:rsid w:val="003B1540"/>
    <w:rsid w:val="003E23A8"/>
    <w:rsid w:val="003F690B"/>
    <w:rsid w:val="003F792E"/>
    <w:rsid w:val="004003BE"/>
    <w:rsid w:val="00407BBA"/>
    <w:rsid w:val="004168A0"/>
    <w:rsid w:val="00420781"/>
    <w:rsid w:val="00420922"/>
    <w:rsid w:val="00425C5D"/>
    <w:rsid w:val="004276E1"/>
    <w:rsid w:val="004344F2"/>
    <w:rsid w:val="00436311"/>
    <w:rsid w:val="00460E03"/>
    <w:rsid w:val="00473E42"/>
    <w:rsid w:val="00496D3A"/>
    <w:rsid w:val="004A11CF"/>
    <w:rsid w:val="004A627F"/>
    <w:rsid w:val="004C4BE6"/>
    <w:rsid w:val="004D4355"/>
    <w:rsid w:val="00514BD1"/>
    <w:rsid w:val="00562A2B"/>
    <w:rsid w:val="00563A2D"/>
    <w:rsid w:val="00570C24"/>
    <w:rsid w:val="00574AA4"/>
    <w:rsid w:val="00592933"/>
    <w:rsid w:val="005A6C7F"/>
    <w:rsid w:val="005C0838"/>
    <w:rsid w:val="005D58BE"/>
    <w:rsid w:val="005E387A"/>
    <w:rsid w:val="005F3E85"/>
    <w:rsid w:val="006210D7"/>
    <w:rsid w:val="00640D66"/>
    <w:rsid w:val="00641877"/>
    <w:rsid w:val="006469E5"/>
    <w:rsid w:val="0066078E"/>
    <w:rsid w:val="006673BD"/>
    <w:rsid w:val="006A2460"/>
    <w:rsid w:val="006B2E3A"/>
    <w:rsid w:val="006D67A0"/>
    <w:rsid w:val="006E1CDA"/>
    <w:rsid w:val="006F09CD"/>
    <w:rsid w:val="00704795"/>
    <w:rsid w:val="0073565F"/>
    <w:rsid w:val="00753E2E"/>
    <w:rsid w:val="0076356E"/>
    <w:rsid w:val="00785AD6"/>
    <w:rsid w:val="007936FD"/>
    <w:rsid w:val="007A0D0A"/>
    <w:rsid w:val="007B194B"/>
    <w:rsid w:val="007B45DE"/>
    <w:rsid w:val="007B4EAE"/>
    <w:rsid w:val="007B6186"/>
    <w:rsid w:val="007D4987"/>
    <w:rsid w:val="007E63B1"/>
    <w:rsid w:val="007F60D7"/>
    <w:rsid w:val="008142B6"/>
    <w:rsid w:val="00833D95"/>
    <w:rsid w:val="0083598A"/>
    <w:rsid w:val="00845555"/>
    <w:rsid w:val="00855CF4"/>
    <w:rsid w:val="00880AD5"/>
    <w:rsid w:val="00887447"/>
    <w:rsid w:val="00896612"/>
    <w:rsid w:val="00896F43"/>
    <w:rsid w:val="008D7D94"/>
    <w:rsid w:val="00906D67"/>
    <w:rsid w:val="00974B27"/>
    <w:rsid w:val="00980262"/>
    <w:rsid w:val="009B39B5"/>
    <w:rsid w:val="009F097B"/>
    <w:rsid w:val="00A04916"/>
    <w:rsid w:val="00A47CBB"/>
    <w:rsid w:val="00A51A5E"/>
    <w:rsid w:val="00A61991"/>
    <w:rsid w:val="00AE50A6"/>
    <w:rsid w:val="00AF4B3A"/>
    <w:rsid w:val="00B15627"/>
    <w:rsid w:val="00B23400"/>
    <w:rsid w:val="00B266B4"/>
    <w:rsid w:val="00B53DAE"/>
    <w:rsid w:val="00B72C1E"/>
    <w:rsid w:val="00B85407"/>
    <w:rsid w:val="00B91F01"/>
    <w:rsid w:val="00B92EC1"/>
    <w:rsid w:val="00BC5044"/>
    <w:rsid w:val="00BC59F6"/>
    <w:rsid w:val="00BD111A"/>
    <w:rsid w:val="00C046CC"/>
    <w:rsid w:val="00C048B6"/>
    <w:rsid w:val="00C30D6F"/>
    <w:rsid w:val="00C47EBD"/>
    <w:rsid w:val="00C564C4"/>
    <w:rsid w:val="00C64EAE"/>
    <w:rsid w:val="00CA3592"/>
    <w:rsid w:val="00CB3C73"/>
    <w:rsid w:val="00CB7EC9"/>
    <w:rsid w:val="00CD3AC9"/>
    <w:rsid w:val="00D13BE5"/>
    <w:rsid w:val="00D15649"/>
    <w:rsid w:val="00D252D6"/>
    <w:rsid w:val="00D25829"/>
    <w:rsid w:val="00D6383C"/>
    <w:rsid w:val="00D662D1"/>
    <w:rsid w:val="00D871A9"/>
    <w:rsid w:val="00D97F90"/>
    <w:rsid w:val="00DA6B21"/>
    <w:rsid w:val="00DD63A7"/>
    <w:rsid w:val="00DF1CBB"/>
    <w:rsid w:val="00DF668A"/>
    <w:rsid w:val="00E1394C"/>
    <w:rsid w:val="00E40EB9"/>
    <w:rsid w:val="00E633AC"/>
    <w:rsid w:val="00E73822"/>
    <w:rsid w:val="00E840FA"/>
    <w:rsid w:val="00EB57BD"/>
    <w:rsid w:val="00F27ED8"/>
    <w:rsid w:val="00F37E6A"/>
    <w:rsid w:val="00F43826"/>
    <w:rsid w:val="00F45B58"/>
    <w:rsid w:val="00F56E7E"/>
    <w:rsid w:val="00F571F4"/>
    <w:rsid w:val="00F7421D"/>
    <w:rsid w:val="00FB6A6E"/>
    <w:rsid w:val="00FE4A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D94"/>
    <w:rPr>
      <w:rFonts w:ascii="Times New Roman" w:eastAsia="Times New Roman" w:hAnsi="Times New Roman"/>
      <w:sz w:val="20"/>
      <w:szCs w:val="20"/>
    </w:rPr>
  </w:style>
  <w:style w:type="paragraph" w:styleId="Heading1">
    <w:name w:val="heading 1"/>
    <w:basedOn w:val="Normal"/>
    <w:next w:val="Normal"/>
    <w:link w:val="Heading1Char"/>
    <w:uiPriority w:val="99"/>
    <w:qFormat/>
    <w:rsid w:val="008D7D94"/>
    <w:pPr>
      <w:keepNext/>
      <w:outlineLvl w:val="0"/>
    </w:pPr>
    <w:rPr>
      <w:sz w:val="24"/>
    </w:rPr>
  </w:style>
  <w:style w:type="paragraph" w:styleId="Heading3">
    <w:name w:val="heading 3"/>
    <w:basedOn w:val="Normal"/>
    <w:next w:val="Normal"/>
    <w:link w:val="Heading3Char"/>
    <w:uiPriority w:val="99"/>
    <w:qFormat/>
    <w:rsid w:val="008D7D94"/>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8D7D94"/>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9"/>
    <w:qFormat/>
    <w:rsid w:val="008D7D94"/>
    <w:pPr>
      <w:keepNext/>
      <w:keepLines/>
      <w:spacing w:before="200"/>
      <w:outlineLvl w:val="5"/>
    </w:pPr>
    <w:rPr>
      <w:rFonts w:ascii="Cambria"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7D94"/>
    <w:rPr>
      <w:rFonts w:ascii="Times New Roman" w:hAnsi="Times New Roman" w:cs="Times New Roman"/>
      <w:sz w:val="20"/>
      <w:szCs w:val="20"/>
      <w:lang w:eastAsia="ru-RU"/>
    </w:rPr>
  </w:style>
  <w:style w:type="character" w:customStyle="1" w:styleId="Heading3Char">
    <w:name w:val="Heading 3 Char"/>
    <w:basedOn w:val="DefaultParagraphFont"/>
    <w:link w:val="Heading3"/>
    <w:uiPriority w:val="99"/>
    <w:locked/>
    <w:rsid w:val="008D7D94"/>
    <w:rPr>
      <w:rFonts w:ascii="Cambria" w:hAnsi="Cambria" w:cs="Times New Roman"/>
      <w:b/>
      <w:bCs/>
      <w:color w:val="4F81BD"/>
      <w:sz w:val="20"/>
      <w:szCs w:val="20"/>
      <w:lang w:eastAsia="ru-RU"/>
    </w:rPr>
  </w:style>
  <w:style w:type="character" w:customStyle="1" w:styleId="Heading4Char">
    <w:name w:val="Heading 4 Char"/>
    <w:basedOn w:val="DefaultParagraphFont"/>
    <w:link w:val="Heading4"/>
    <w:uiPriority w:val="99"/>
    <w:locked/>
    <w:rsid w:val="008D7D94"/>
    <w:rPr>
      <w:rFonts w:ascii="Cambria" w:hAnsi="Cambria" w:cs="Times New Roman"/>
      <w:b/>
      <w:bCs/>
      <w:i/>
      <w:iCs/>
      <w:color w:val="4F81BD"/>
      <w:sz w:val="20"/>
      <w:szCs w:val="20"/>
      <w:lang w:eastAsia="ru-RU"/>
    </w:rPr>
  </w:style>
  <w:style w:type="character" w:customStyle="1" w:styleId="Heading6Char">
    <w:name w:val="Heading 6 Char"/>
    <w:basedOn w:val="DefaultParagraphFont"/>
    <w:link w:val="Heading6"/>
    <w:uiPriority w:val="99"/>
    <w:locked/>
    <w:rsid w:val="008D7D94"/>
    <w:rPr>
      <w:rFonts w:ascii="Cambria" w:hAnsi="Cambria" w:cs="Times New Roman"/>
      <w:i/>
      <w:iCs/>
      <w:color w:val="243F60"/>
      <w:sz w:val="20"/>
      <w:szCs w:val="20"/>
      <w:lang w:eastAsia="ru-RU"/>
    </w:rPr>
  </w:style>
  <w:style w:type="paragraph" w:styleId="Title">
    <w:name w:val="Title"/>
    <w:basedOn w:val="Normal"/>
    <w:link w:val="TitleChar"/>
    <w:uiPriority w:val="99"/>
    <w:qFormat/>
    <w:rsid w:val="008D7D94"/>
    <w:pPr>
      <w:jc w:val="center"/>
    </w:pPr>
    <w:rPr>
      <w:sz w:val="28"/>
      <w:lang w:val="uk-UA"/>
    </w:rPr>
  </w:style>
  <w:style w:type="character" w:customStyle="1" w:styleId="TitleChar">
    <w:name w:val="Title Char"/>
    <w:basedOn w:val="DefaultParagraphFont"/>
    <w:link w:val="Title"/>
    <w:uiPriority w:val="99"/>
    <w:locked/>
    <w:rsid w:val="008D7D94"/>
    <w:rPr>
      <w:rFonts w:ascii="Times New Roman" w:hAnsi="Times New Roman" w:cs="Times New Roman"/>
      <w:sz w:val="20"/>
      <w:szCs w:val="20"/>
      <w:lang w:val="uk-UA" w:eastAsia="ru-RU"/>
    </w:rPr>
  </w:style>
  <w:style w:type="paragraph" w:styleId="BodyTextIndent">
    <w:name w:val="Body Text Indent"/>
    <w:basedOn w:val="Normal"/>
    <w:link w:val="BodyTextIndentChar"/>
    <w:uiPriority w:val="99"/>
    <w:rsid w:val="008D7D94"/>
    <w:pPr>
      <w:ind w:firstLine="426"/>
      <w:jc w:val="both"/>
    </w:pPr>
    <w:rPr>
      <w:sz w:val="28"/>
      <w:lang w:val="uk-UA"/>
    </w:rPr>
  </w:style>
  <w:style w:type="character" w:customStyle="1" w:styleId="BodyTextIndentChar">
    <w:name w:val="Body Text Indent Char"/>
    <w:basedOn w:val="DefaultParagraphFont"/>
    <w:link w:val="BodyTextIndent"/>
    <w:uiPriority w:val="99"/>
    <w:locked/>
    <w:rsid w:val="008D7D94"/>
    <w:rPr>
      <w:rFonts w:ascii="Times New Roman" w:hAnsi="Times New Roman" w:cs="Times New Roman"/>
      <w:sz w:val="20"/>
      <w:szCs w:val="20"/>
      <w:lang w:val="uk-UA" w:eastAsia="ru-RU"/>
    </w:rPr>
  </w:style>
  <w:style w:type="paragraph" w:styleId="ListParagraph">
    <w:name w:val="List Paragraph"/>
    <w:basedOn w:val="Normal"/>
    <w:uiPriority w:val="99"/>
    <w:qFormat/>
    <w:rsid w:val="008D7D94"/>
    <w:pPr>
      <w:ind w:left="720"/>
      <w:contextualSpacing/>
    </w:pPr>
  </w:style>
  <w:style w:type="paragraph" w:styleId="NormalWeb">
    <w:name w:val="Normal (Web)"/>
    <w:basedOn w:val="Normal"/>
    <w:uiPriority w:val="99"/>
    <w:rsid w:val="008D7D94"/>
    <w:pPr>
      <w:spacing w:before="100" w:beforeAutospacing="1" w:after="100" w:afterAutospacing="1"/>
    </w:pPr>
    <w:rPr>
      <w:sz w:val="24"/>
      <w:szCs w:val="24"/>
    </w:rPr>
  </w:style>
  <w:style w:type="paragraph" w:styleId="Header">
    <w:name w:val="header"/>
    <w:basedOn w:val="Normal"/>
    <w:link w:val="HeaderChar"/>
    <w:uiPriority w:val="99"/>
    <w:rsid w:val="008D7D94"/>
    <w:pPr>
      <w:tabs>
        <w:tab w:val="center" w:pos="4677"/>
        <w:tab w:val="right" w:pos="9355"/>
      </w:tabs>
    </w:pPr>
    <w:rPr>
      <w:sz w:val="24"/>
      <w:szCs w:val="24"/>
    </w:rPr>
  </w:style>
  <w:style w:type="character" w:customStyle="1" w:styleId="HeaderChar">
    <w:name w:val="Header Char"/>
    <w:basedOn w:val="DefaultParagraphFont"/>
    <w:link w:val="Header"/>
    <w:uiPriority w:val="99"/>
    <w:locked/>
    <w:rsid w:val="008D7D94"/>
    <w:rPr>
      <w:rFonts w:ascii="Times New Roman" w:hAnsi="Times New Roman" w:cs="Times New Roman"/>
      <w:sz w:val="24"/>
      <w:szCs w:val="24"/>
      <w:lang w:eastAsia="ru-RU"/>
    </w:rPr>
  </w:style>
  <w:style w:type="paragraph" w:styleId="HTMLPreformatted">
    <w:name w:val="HTML Preformatted"/>
    <w:basedOn w:val="Normal"/>
    <w:link w:val="HTMLPreformattedChar"/>
    <w:uiPriority w:val="99"/>
    <w:rsid w:val="008D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PreformattedChar">
    <w:name w:val="HTML Preformatted Char"/>
    <w:basedOn w:val="DefaultParagraphFont"/>
    <w:link w:val="HTMLPreformatted"/>
    <w:uiPriority w:val="99"/>
    <w:locked/>
    <w:rsid w:val="008D7D94"/>
    <w:rPr>
      <w:rFonts w:ascii="Courier New" w:hAnsi="Courier New" w:cs="Courier New"/>
      <w:sz w:val="20"/>
      <w:szCs w:val="20"/>
      <w:lang w:val="uk-UA" w:eastAsia="uk-UA"/>
    </w:rPr>
  </w:style>
  <w:style w:type="table" w:styleId="TableGrid">
    <w:name w:val="Table Grid"/>
    <w:basedOn w:val="TableNormal"/>
    <w:uiPriority w:val="99"/>
    <w:rsid w:val="008D7D94"/>
    <w:rPr>
      <w:sz w:val="20"/>
      <w:szCs w:val="20"/>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
    <w:name w:val="Обычный8"/>
    <w:uiPriority w:val="99"/>
    <w:rsid w:val="008D7D94"/>
    <w:rPr>
      <w:rFonts w:ascii="Times New Roman" w:eastAsia="Times New Roman" w:hAnsi="Times New Roman"/>
      <w:sz w:val="20"/>
      <w:szCs w:val="20"/>
    </w:rPr>
  </w:style>
  <w:style w:type="character" w:styleId="Hyperlink">
    <w:name w:val="Hyperlink"/>
    <w:basedOn w:val="DefaultParagraphFont"/>
    <w:uiPriority w:val="99"/>
    <w:semiHidden/>
    <w:rsid w:val="008D7D94"/>
    <w:rPr>
      <w:rFonts w:ascii="Times New Roman" w:hAnsi="Times New Roman" w:cs="Times New Roman"/>
      <w:color w:val="0000FF"/>
      <w:u w:val="single"/>
    </w:rPr>
  </w:style>
  <w:style w:type="character" w:customStyle="1" w:styleId="xfmc1">
    <w:name w:val="xfmc1"/>
    <w:basedOn w:val="DefaultParagraphFont"/>
    <w:uiPriority w:val="99"/>
    <w:rsid w:val="008D7D94"/>
    <w:rPr>
      <w:rFonts w:cs="Times New Roman"/>
    </w:rPr>
  </w:style>
  <w:style w:type="paragraph" w:styleId="Footer">
    <w:name w:val="footer"/>
    <w:basedOn w:val="Normal"/>
    <w:link w:val="FooterChar"/>
    <w:uiPriority w:val="99"/>
    <w:rsid w:val="008D7D94"/>
    <w:pPr>
      <w:tabs>
        <w:tab w:val="center" w:pos="4677"/>
        <w:tab w:val="right" w:pos="9355"/>
      </w:tabs>
    </w:pPr>
  </w:style>
  <w:style w:type="character" w:customStyle="1" w:styleId="FooterChar">
    <w:name w:val="Footer Char"/>
    <w:basedOn w:val="DefaultParagraphFont"/>
    <w:link w:val="Footer"/>
    <w:uiPriority w:val="99"/>
    <w:locked/>
    <w:rsid w:val="008D7D94"/>
    <w:rPr>
      <w:rFonts w:ascii="Times New Roman" w:hAnsi="Times New Roman" w:cs="Times New Roman"/>
      <w:sz w:val="20"/>
      <w:szCs w:val="20"/>
      <w:lang w:eastAsia="ru-RU"/>
    </w:rPr>
  </w:style>
  <w:style w:type="paragraph" w:customStyle="1" w:styleId="1">
    <w:name w:val="Абзац списка1"/>
    <w:basedOn w:val="Normal"/>
    <w:uiPriority w:val="99"/>
    <w:rsid w:val="008D7D94"/>
    <w:pPr>
      <w:ind w:left="720"/>
      <w:contextualSpacing/>
    </w:pPr>
    <w:rPr>
      <w:rFonts w:eastAsia="Calibri"/>
    </w:rPr>
  </w:style>
  <w:style w:type="paragraph" w:customStyle="1" w:styleId="rvps2">
    <w:name w:val="rvps2"/>
    <w:basedOn w:val="Normal"/>
    <w:uiPriority w:val="99"/>
    <w:rsid w:val="008D7D94"/>
    <w:pPr>
      <w:jc w:val="center"/>
    </w:pPr>
    <w:rPr>
      <w:sz w:val="24"/>
      <w:szCs w:val="24"/>
    </w:rPr>
  </w:style>
  <w:style w:type="paragraph" w:customStyle="1" w:styleId="2">
    <w:name w:val="Абзац списка2"/>
    <w:basedOn w:val="Normal"/>
    <w:uiPriority w:val="99"/>
    <w:rsid w:val="008D7D94"/>
    <w:pPr>
      <w:ind w:left="720"/>
      <w:contextualSpacing/>
    </w:pPr>
    <w:rPr>
      <w:rFonts w:eastAsia="Calibri"/>
    </w:rPr>
  </w:style>
  <w:style w:type="paragraph" w:styleId="BodyTextIndent3">
    <w:name w:val="Body Text Indent 3"/>
    <w:basedOn w:val="Normal"/>
    <w:link w:val="BodyTextIndent3Char"/>
    <w:uiPriority w:val="99"/>
    <w:rsid w:val="008D7D94"/>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8D7D94"/>
    <w:rPr>
      <w:rFonts w:ascii="Times New Roman" w:hAnsi="Times New Roman" w:cs="Times New Roman"/>
      <w:sz w:val="16"/>
      <w:szCs w:val="16"/>
      <w:lang w:eastAsia="ru-RU"/>
    </w:rPr>
  </w:style>
  <w:style w:type="paragraph" w:styleId="PlainText">
    <w:name w:val="Plain Text"/>
    <w:basedOn w:val="Normal"/>
    <w:link w:val="PlainTextChar"/>
    <w:uiPriority w:val="99"/>
    <w:rsid w:val="008D7D94"/>
    <w:rPr>
      <w:rFonts w:ascii="Courier New" w:hAnsi="Courier New"/>
    </w:rPr>
  </w:style>
  <w:style w:type="character" w:customStyle="1" w:styleId="PlainTextChar">
    <w:name w:val="Plain Text Char"/>
    <w:basedOn w:val="DefaultParagraphFont"/>
    <w:link w:val="PlainText"/>
    <w:uiPriority w:val="99"/>
    <w:locked/>
    <w:rsid w:val="008D7D94"/>
    <w:rPr>
      <w:rFonts w:ascii="Courier New" w:hAnsi="Courier New" w:cs="Times New Roman"/>
      <w:sz w:val="20"/>
      <w:szCs w:val="20"/>
      <w:lang w:eastAsia="ru-RU"/>
    </w:rPr>
  </w:style>
  <w:style w:type="character" w:customStyle="1" w:styleId="apple-converted-space">
    <w:name w:val="apple-converted-space"/>
    <w:uiPriority w:val="99"/>
    <w:rsid w:val="008D7D94"/>
    <w:rPr>
      <w:rFonts w:ascii="Times New Roman" w:hAnsi="Times New Roman"/>
    </w:rPr>
  </w:style>
  <w:style w:type="character" w:styleId="BookTitle">
    <w:name w:val="Book Title"/>
    <w:basedOn w:val="DefaultParagraphFont"/>
    <w:uiPriority w:val="99"/>
    <w:qFormat/>
    <w:rsid w:val="008D7D94"/>
    <w:rPr>
      <w:rFonts w:cs="Times New Roman"/>
      <w:b/>
      <w:smallCaps/>
      <w:spacing w:val="5"/>
    </w:rPr>
  </w:style>
  <w:style w:type="paragraph" w:customStyle="1" w:styleId="caaieiaie71">
    <w:name w:val="caaieiaie 71"/>
    <w:basedOn w:val="Normal"/>
    <w:next w:val="Normal"/>
    <w:uiPriority w:val="99"/>
    <w:rsid w:val="008D7D94"/>
    <w:pPr>
      <w:keepNext/>
      <w:widowControl w:val="0"/>
      <w:spacing w:line="300" w:lineRule="exact"/>
      <w:jc w:val="center"/>
    </w:pPr>
    <w:rPr>
      <w:b/>
      <w:sz w:val="28"/>
    </w:rPr>
  </w:style>
  <w:style w:type="paragraph" w:customStyle="1" w:styleId="BodyText31">
    <w:name w:val="Body Text 31"/>
    <w:basedOn w:val="Normal"/>
    <w:uiPriority w:val="99"/>
    <w:rsid w:val="008D7D94"/>
    <w:pPr>
      <w:widowControl w:val="0"/>
      <w:jc w:val="center"/>
    </w:pPr>
    <w:rPr>
      <w:sz w:val="22"/>
    </w:rPr>
  </w:style>
  <w:style w:type="paragraph" w:customStyle="1" w:styleId="font5">
    <w:name w:val="font5"/>
    <w:basedOn w:val="Normal"/>
    <w:uiPriority w:val="99"/>
    <w:rsid w:val="008D7D94"/>
    <w:pPr>
      <w:widowControl w:val="0"/>
      <w:spacing w:before="100" w:after="100"/>
    </w:pPr>
    <w:rPr>
      <w:rFonts w:ascii="Courier New" w:hAnsi="Courier New" w:cs="Courier New"/>
      <w:sz w:val="22"/>
      <w:szCs w:val="22"/>
    </w:rPr>
  </w:style>
  <w:style w:type="paragraph" w:customStyle="1" w:styleId="10">
    <w:name w:val="Обычный1"/>
    <w:uiPriority w:val="99"/>
    <w:rsid w:val="008D7D94"/>
    <w:rPr>
      <w:rFonts w:ascii="Times New Roman" w:eastAsia="Times New Roman" w:hAnsi="Times New Roman"/>
      <w:sz w:val="20"/>
      <w:szCs w:val="20"/>
    </w:rPr>
  </w:style>
  <w:style w:type="paragraph" w:styleId="BodyText3">
    <w:name w:val="Body Text 3"/>
    <w:basedOn w:val="Normal"/>
    <w:link w:val="BodyText3Char"/>
    <w:uiPriority w:val="99"/>
    <w:semiHidden/>
    <w:rsid w:val="008D7D94"/>
    <w:pPr>
      <w:spacing w:after="120"/>
    </w:pPr>
    <w:rPr>
      <w:sz w:val="16"/>
      <w:szCs w:val="16"/>
    </w:rPr>
  </w:style>
  <w:style w:type="character" w:customStyle="1" w:styleId="BodyText3Char">
    <w:name w:val="Body Text 3 Char"/>
    <w:basedOn w:val="DefaultParagraphFont"/>
    <w:link w:val="BodyText3"/>
    <w:uiPriority w:val="99"/>
    <w:semiHidden/>
    <w:locked/>
    <w:rsid w:val="008D7D94"/>
    <w:rPr>
      <w:rFonts w:ascii="Times New Roman" w:hAnsi="Times New Roman" w:cs="Times New Roman"/>
      <w:sz w:val="16"/>
      <w:szCs w:val="16"/>
      <w:lang w:eastAsia="ru-RU"/>
    </w:rPr>
  </w:style>
  <w:style w:type="paragraph" w:customStyle="1" w:styleId="BodyText21">
    <w:name w:val="Body Text 21"/>
    <w:basedOn w:val="Normal"/>
    <w:uiPriority w:val="99"/>
    <w:rsid w:val="008D7D94"/>
    <w:pPr>
      <w:widowControl w:val="0"/>
      <w:spacing w:before="120" w:line="216" w:lineRule="auto"/>
      <w:jc w:val="center"/>
    </w:pPr>
    <w:rPr>
      <w:sz w:val="24"/>
    </w:rPr>
  </w:style>
  <w:style w:type="paragraph" w:customStyle="1" w:styleId="xl27">
    <w:name w:val="xl27"/>
    <w:basedOn w:val="Normal"/>
    <w:uiPriority w:val="99"/>
    <w:rsid w:val="008D7D94"/>
    <w:pPr>
      <w:spacing w:before="100" w:after="100"/>
      <w:jc w:val="right"/>
    </w:pPr>
    <w:rPr>
      <w:sz w:val="22"/>
    </w:rPr>
  </w:style>
  <w:style w:type="paragraph" w:customStyle="1" w:styleId="11">
    <w:name w:val="Знак Знак Знак Знак Знак Знак Знак Знак Знак Знак Знак Знак1"/>
    <w:basedOn w:val="Normal"/>
    <w:uiPriority w:val="99"/>
    <w:rsid w:val="008D7D94"/>
    <w:rPr>
      <w:rFonts w:ascii="Verdana" w:hAnsi="Verdana" w:cs="Verdana"/>
      <w:lang w:val="en-US" w:eastAsia="en-US"/>
    </w:rPr>
  </w:style>
  <w:style w:type="paragraph" w:styleId="BalloonText">
    <w:name w:val="Balloon Text"/>
    <w:basedOn w:val="Normal"/>
    <w:link w:val="BalloonTextChar"/>
    <w:uiPriority w:val="99"/>
    <w:semiHidden/>
    <w:rsid w:val="008D7D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7D94"/>
    <w:rPr>
      <w:rFonts w:ascii="Tahoma" w:hAnsi="Tahoma" w:cs="Tahoma"/>
      <w:sz w:val="16"/>
      <w:szCs w:val="16"/>
      <w:lang w:eastAsia="ru-RU"/>
    </w:rPr>
  </w:style>
  <w:style w:type="paragraph" w:styleId="BodyText">
    <w:name w:val="Body Text"/>
    <w:basedOn w:val="Normal"/>
    <w:link w:val="BodyTextChar"/>
    <w:uiPriority w:val="99"/>
    <w:semiHidden/>
    <w:rsid w:val="008D7D94"/>
    <w:pPr>
      <w:spacing w:after="120"/>
    </w:pPr>
  </w:style>
  <w:style w:type="character" w:customStyle="1" w:styleId="BodyTextChar">
    <w:name w:val="Body Text Char"/>
    <w:basedOn w:val="DefaultParagraphFont"/>
    <w:link w:val="BodyText"/>
    <w:uiPriority w:val="99"/>
    <w:semiHidden/>
    <w:locked/>
    <w:rsid w:val="008D7D94"/>
    <w:rPr>
      <w:rFonts w:ascii="Times New Roman" w:hAnsi="Times New Roman" w:cs="Times New Roman"/>
      <w:sz w:val="20"/>
      <w:szCs w:val="20"/>
      <w:lang w:eastAsia="ru-RU"/>
    </w:rPr>
  </w:style>
  <w:style w:type="paragraph" w:customStyle="1" w:styleId="20">
    <w:name w:val="Обычный2"/>
    <w:uiPriority w:val="99"/>
    <w:rsid w:val="008D7D94"/>
    <w:rPr>
      <w:rFonts w:ascii="Times New Roman" w:eastAsia="Times New Roman" w:hAnsi="Times New Roman"/>
      <w:sz w:val="20"/>
      <w:szCs w:val="20"/>
    </w:rPr>
  </w:style>
  <w:style w:type="paragraph" w:customStyle="1" w:styleId="3">
    <w:name w:val="Обычный3"/>
    <w:uiPriority w:val="99"/>
    <w:rsid w:val="008D7D94"/>
    <w:rPr>
      <w:rFonts w:ascii="Times New Roman" w:eastAsia="Times New Roman" w:hAnsi="Times New Roman"/>
      <w:sz w:val="20"/>
      <w:szCs w:val="20"/>
    </w:rPr>
  </w:style>
  <w:style w:type="character" w:styleId="Strong">
    <w:name w:val="Strong"/>
    <w:basedOn w:val="DefaultParagraphFont"/>
    <w:uiPriority w:val="99"/>
    <w:qFormat/>
    <w:rsid w:val="008D7D94"/>
    <w:rPr>
      <w:rFonts w:ascii="Times New Roman" w:hAnsi="Times New Roman" w:cs="Times New Roman"/>
      <w:b/>
    </w:rPr>
  </w:style>
  <w:style w:type="character" w:styleId="LineNumber">
    <w:name w:val="line number"/>
    <w:basedOn w:val="DefaultParagraphFont"/>
    <w:uiPriority w:val="99"/>
    <w:semiHidden/>
    <w:rsid w:val="008D7D94"/>
    <w:rPr>
      <w:rFonts w:cs="Times New Roman"/>
    </w:rPr>
  </w:style>
  <w:style w:type="character" w:customStyle="1" w:styleId="xfm14773489">
    <w:name w:val="xfm_14773489"/>
    <w:basedOn w:val="DefaultParagraphFont"/>
    <w:uiPriority w:val="99"/>
    <w:rsid w:val="008D7D94"/>
    <w:rPr>
      <w:rFonts w:cs="Times New Roman"/>
    </w:rPr>
  </w:style>
  <w:style w:type="character" w:styleId="Emphasis">
    <w:name w:val="Emphasis"/>
    <w:basedOn w:val="DefaultParagraphFont"/>
    <w:uiPriority w:val="99"/>
    <w:qFormat/>
    <w:rsid w:val="001C2626"/>
    <w:rPr>
      <w:rFonts w:cs="Times New Roman"/>
      <w:i/>
      <w:iCs/>
    </w:rPr>
  </w:style>
</w:styles>
</file>

<file path=word/webSettings.xml><?xml version="1.0" encoding="utf-8"?>
<w:webSettings xmlns:r="http://schemas.openxmlformats.org/officeDocument/2006/relationships" xmlns:w="http://schemas.openxmlformats.org/wordprocessingml/2006/main">
  <w:divs>
    <w:div w:id="1662660014">
      <w:marLeft w:val="0"/>
      <w:marRight w:val="0"/>
      <w:marTop w:val="0"/>
      <w:marBottom w:val="0"/>
      <w:divBdr>
        <w:top w:val="none" w:sz="0" w:space="0" w:color="auto"/>
        <w:left w:val="none" w:sz="0" w:space="0" w:color="auto"/>
        <w:bottom w:val="none" w:sz="0" w:space="0" w:color="auto"/>
        <w:right w:val="none" w:sz="0" w:space="0" w:color="auto"/>
      </w:divBdr>
    </w:div>
    <w:div w:id="1662660015">
      <w:marLeft w:val="0"/>
      <w:marRight w:val="0"/>
      <w:marTop w:val="0"/>
      <w:marBottom w:val="0"/>
      <w:divBdr>
        <w:top w:val="none" w:sz="0" w:space="0" w:color="auto"/>
        <w:left w:val="none" w:sz="0" w:space="0" w:color="auto"/>
        <w:bottom w:val="none" w:sz="0" w:space="0" w:color="auto"/>
        <w:right w:val="none" w:sz="0" w:space="0" w:color="auto"/>
      </w:divBdr>
    </w:div>
    <w:div w:id="1662660016">
      <w:marLeft w:val="0"/>
      <w:marRight w:val="0"/>
      <w:marTop w:val="0"/>
      <w:marBottom w:val="0"/>
      <w:divBdr>
        <w:top w:val="none" w:sz="0" w:space="0" w:color="auto"/>
        <w:left w:val="none" w:sz="0" w:space="0" w:color="auto"/>
        <w:bottom w:val="none" w:sz="0" w:space="0" w:color="auto"/>
        <w:right w:val="none" w:sz="0" w:space="0" w:color="auto"/>
      </w:divBdr>
    </w:div>
    <w:div w:id="1662660017">
      <w:marLeft w:val="0"/>
      <w:marRight w:val="0"/>
      <w:marTop w:val="0"/>
      <w:marBottom w:val="0"/>
      <w:divBdr>
        <w:top w:val="none" w:sz="0" w:space="0" w:color="auto"/>
        <w:left w:val="none" w:sz="0" w:space="0" w:color="auto"/>
        <w:bottom w:val="none" w:sz="0" w:space="0" w:color="auto"/>
        <w:right w:val="none" w:sz="0" w:space="0" w:color="auto"/>
      </w:divBdr>
    </w:div>
    <w:div w:id="1662660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31</Pages>
  <Words>9744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В І Т</dc:title>
  <dc:subject/>
  <dc:creator>Пользователь</dc:creator>
  <cp:keywords/>
  <dc:description/>
  <cp:lastModifiedBy>Chepurnaya</cp:lastModifiedBy>
  <cp:revision>3</cp:revision>
  <cp:lastPrinted>2020-04-09T11:00:00Z</cp:lastPrinted>
  <dcterms:created xsi:type="dcterms:W3CDTF">2020-04-28T13:28:00Z</dcterms:created>
  <dcterms:modified xsi:type="dcterms:W3CDTF">2020-04-28T13:33:00Z</dcterms:modified>
</cp:coreProperties>
</file>